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АДМИНИСТРАЦИЯ</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НОВОМАКАРОВСКОГО СЕЛЬСКОГО ПОСЕЛЕНИЯ</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ГРИБАНОВСКОГО МУНИЦИПАЛЬНОГО РАЙОНА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ВОРОНЕЖСКОЙ ОБЛАСТИ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ПОСТАНОВЛЕНИЕ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от 07.07.2015 г.  № 25</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 Новомакарово</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  утверждении      муниципальной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2015-2020 гг.</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В соответствии с Федеральным законом от 24.07.2007 г. № 209- ФЗ «О развитии малого и среднего предпринимательства в Российской Федерации»,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Федеральным законом от 06.10.2003г. № 131-ФЗ «Об общих принципах организации местного самоуправления в Российской Федерации»  администрация Новомакаровского сельского поселения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ПОСТАНОВЛЯЕТ:</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1.Утвердить  муниципальную  программу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2015-2020 гг.</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2.Финансирование мероприятий программы проводить в пределах средств, предусмотренных бюджетом Новомакаровского сельского поселения Грибановского муниципального района на соответствующий финансовый год.</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3. Контроль  исполнения настоящего постановления оставляю за собой.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Глава сельского поселения                                                                  Н.Н.Плохих</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Утверждена </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постановлением администрации</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Новомакаровского сельского поселения Грибановского  муниципального  района </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Воронежской области</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от  07.07.2015г.  № 25</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МУНИЦИПАЛЬНАЯ ПРОГРАММА</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Новомакаровского сельского поселения Грибановского муниципального района Воронежской области</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«Развитие и поддержка малого и среднего предпринимательства в Новомакаровском сельском  поселении Грибановского муниципального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района»</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 2015-2020 гг.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 г.</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ПАСПОРТ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2015-2020гг.</w:t>
      </w:r>
    </w:p>
    <w:tbl>
      <w:tblPr>
        <w:tblW w:w="9495" w:type="dxa"/>
        <w:tblCellSpacing w:w="0" w:type="dxa"/>
        <w:tblCellMar>
          <w:left w:w="0" w:type="dxa"/>
          <w:right w:w="0" w:type="dxa"/>
        </w:tblCellMar>
        <w:tblLook w:val="04A0" w:firstRow="1" w:lastRow="0" w:firstColumn="1" w:lastColumn="0" w:noHBand="0" w:noVBand="1"/>
      </w:tblPr>
      <w:tblGrid>
        <w:gridCol w:w="3806"/>
        <w:gridCol w:w="5689"/>
      </w:tblGrid>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Наименование муниципальной программы</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«Развитие и поддержка малого и среднего предпринимательства в Новомакаровском сельском поселении Грибановского муниципального района» на 2015-2020гг.</w:t>
            </w:r>
          </w:p>
        </w:tc>
      </w:tr>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Ответственный исполнитель муниципальной программы</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Администрация Новомакаровского сельского поселения Грибановского муниципального района Воронежской области </w:t>
            </w:r>
          </w:p>
        </w:tc>
      </w:tr>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Исполнители муниципальной программы</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Администрация Новомакаровского сельского поселения Грибановского муниципального района Воронежской области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Отдел социально-экономического развития и программ администрации Грибановского </w:t>
            </w:r>
            <w:r w:rsidRPr="008D70FF">
              <w:rPr>
                <w:rFonts w:ascii="Times New Roman" w:eastAsia="Times New Roman" w:hAnsi="Times New Roman" w:cs="Times New Roman"/>
                <w:sz w:val="24"/>
                <w:szCs w:val="24"/>
                <w:lang w:eastAsia="ru-RU"/>
              </w:rPr>
              <w:lastRenderedPageBreak/>
              <w:t>муниципального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Отдел по финансам администрации Грибановского муниципального района</w:t>
            </w:r>
          </w:p>
        </w:tc>
      </w:tr>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Основные разработчики муниципальной программы</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Администрация Новомакаровского сельского поселения Грибановского муниципального района Воронежской области</w:t>
            </w:r>
          </w:p>
        </w:tc>
      </w:tr>
      <w:tr w:rsidR="008D70FF" w:rsidRPr="008D70FF" w:rsidTr="008D70FF">
        <w:trPr>
          <w:trHeight w:val="670"/>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Подпрограмма № 1 «Развитие и поддержка малого и среднего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br/>
              <w:t xml:space="preserve">Основное мероприятие: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Финансовое обеспечение мероприятий согласно Соглашению по передаче полномочий </w:t>
            </w:r>
          </w:p>
        </w:tc>
      </w:tr>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Цель муниципальной                 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Создание благоприятного предпринимательского климата и условий для ведения бизнеса.</w:t>
            </w:r>
          </w:p>
        </w:tc>
      </w:tr>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Задачи муниципальной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 Создание условий для привлечения инвестиций в развитие экономики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 Повышение предпринимательской активности и развитие малого и среднего предпринимательства.</w:t>
            </w:r>
          </w:p>
        </w:tc>
      </w:tr>
      <w:tr w:rsidR="008D70FF" w:rsidRPr="008D70FF" w:rsidTr="008D70FF">
        <w:trPr>
          <w:tblCellSpacing w:w="0" w:type="dxa"/>
        </w:trPr>
        <w:tc>
          <w:tcPr>
            <w:tcW w:w="3544"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5957"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r>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Этапы и сроки реализации муниципальной программы</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Программа реализуется в один этап в течение 2015-2020 гг.</w:t>
            </w:r>
          </w:p>
        </w:tc>
      </w:tr>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Объемы и источники финансирования муниципальной программы, тыс. руб.</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Всего – 15,0 тыс.руб., в том числе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из местного бюджета – 15,0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том числе по годам реализации: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Подпрограмма № 1 «Развитие и поддержка малого и среднего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Всего – 15,0 тыс.руб., в том числе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из местного бюджета – 15,0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том числе по годам реализации: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2020г. – 2,5 тыс.руб.</w:t>
            </w:r>
          </w:p>
        </w:tc>
      </w:tr>
      <w:tr w:rsidR="008D70FF" w:rsidRPr="008D70FF" w:rsidTr="008D70FF">
        <w:trPr>
          <w:tblCellSpacing w:w="0" w:type="dxa"/>
        </w:trPr>
        <w:tc>
          <w:tcPr>
            <w:tcW w:w="35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программы</w:t>
            </w:r>
          </w:p>
        </w:tc>
        <w:tc>
          <w:tcPr>
            <w:tcW w:w="595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насыщение потребительского рынка товарами и услугами, удовлетворение потребительского спроса населения.</w:t>
            </w:r>
          </w:p>
        </w:tc>
      </w:tr>
    </w:tbl>
    <w:p w:rsidR="008D70FF" w:rsidRPr="008D70FF" w:rsidRDefault="008D70FF" w:rsidP="008D70FF">
      <w:pPr>
        <w:spacing w:after="240"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br/>
      </w:r>
    </w:p>
    <w:p w:rsidR="008D70FF" w:rsidRPr="008D70FF" w:rsidRDefault="008D70FF" w:rsidP="008D7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Общая характеристика сферы реализации муниципальной программы.</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Оказание содействия развитию муниципальных образований и местного самоуправления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Проведенный анализ показывает, что муниципальные образования района  значительно отличаются по уровню социально-экономического развитию.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w:t>
      </w:r>
      <w:r w:rsidRPr="008D70FF">
        <w:rPr>
          <w:rFonts w:ascii="Times New Roman" w:eastAsia="Times New Roman" w:hAnsi="Times New Roman" w:cs="Times New Roman"/>
          <w:sz w:val="24"/>
          <w:szCs w:val="24"/>
          <w:lang w:eastAsia="ru-RU"/>
        </w:rPr>
        <w:lastRenderedPageBreak/>
        <w:t xml:space="preserve">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 № 131-ФЗ «Об общих принципах организации местного самоуправления в Российской Федерации».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Эффективная система муниципального управления в сельском поселении  является одним из основных условий социально-экономического развития поселения.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ИНФОРМАЦИЯ О ПОСЕЛЕНИИ</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Новомакаровское сельское поселение расположено в западной части Грибановского района, в пределах которой граничит с сельскими поселениями: Новогольеланским  - на севере, Новогольским - на северо – востоке, Листопадовским - на востоке, Краснореченским - на юге. Кроме того, сельское поселение имеет общую границу с муниципальными районами Воронежской области: Аннинским на западе, Новохоперским на юго – западе.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Общая площадь Новомакаровского сельского поселения составляет 5,7 тыс. га.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Расстояние от центра села Новомакарово до административно – хозяйственного и культурного центра пгт Грибановский составляет 50 км.</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состав Новомакаровского сельского поселения входят два населённых пункта: село Новомакарово и посёлок Новая Жизнь. Расстояние между ними составляет 5 км.</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На территории сельского поселения функционируют следующие предприятия и учреждения: МКОУ Новомакаровская СОШ, МКДОУ Новомакаровский детский сад, ФАП, почтовое отделение связи, МКУК Новомакаровского сельского поселения «ЦДИ», администрация Новомакаровского сельского поселения, ООО «Новомакаровское», </w:t>
      </w:r>
      <w:r w:rsidRPr="008D70FF">
        <w:rPr>
          <w:rFonts w:ascii="Times New Roman" w:eastAsia="Times New Roman" w:hAnsi="Times New Roman" w:cs="Times New Roman"/>
          <w:sz w:val="24"/>
          <w:szCs w:val="24"/>
          <w:lang w:eastAsia="ru-RU"/>
        </w:rPr>
        <w:lastRenderedPageBreak/>
        <w:t>магазины. Так же на территории Новомакаровского сельского поселения расположен Серафима-Саровский мужской монастырь.</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Сельское хозяйство является важнейшей отраслью экономики Новомакаровского сельского поселения. Ввиду отсутствия промышленности, сельское хозяйство является единственной отраслью материального производства.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составе населения Новомакаровского сельского поселения преобладает большое количество представителей старших возрастов. Смертность превышает рождаемость. Механический прирост населения так же не велик. Улучшить демографическую ситуацию может интенсивный миграционный приток населения путём создания новых рабочих мест и меры по сокращению смертности населения.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Населённые пункты Новомакаровского сельского поселения газифицируются, благоустраиваются.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Изложенное выше свидетельствует о необходимости данной Программы с целью повышения раскрытия потенциала в органах местного самоуправления поселения,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созданию новых рабочих мест,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сельском поселении, насыщение потребительского рынка товарами и услугами, удовлетворение потребительского спроса населения.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2.1. Приоритеты муниципальной политики в сфере реализации муниципальной программы</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Современное состояние экономики Новомакаровского сельского поселения не отвечает его потенциальным возможностям.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w:t>
      </w:r>
      <w:r w:rsidRPr="008D70FF">
        <w:rPr>
          <w:rFonts w:ascii="Times New Roman" w:eastAsia="Times New Roman" w:hAnsi="Times New Roman" w:cs="Times New Roman"/>
          <w:sz w:val="24"/>
          <w:szCs w:val="24"/>
          <w:lang w:eastAsia="ru-RU"/>
        </w:rPr>
        <w:lastRenderedPageBreak/>
        <w:t xml:space="preserve">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инвестиций.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Программа предназначена для принятия управленческих решений, разработки конкретных механизмов поддержки инвестиционных проектов развития реального сектора экономики, социальной, общественной инфраструктур, повышения качества жизни населения поселения,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поселения.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числе приоритетов определены следующие направления: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 поддержка и стимулирование социально-экономического развития поселений района;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2.2.1. Основные цели 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 Создание благоприятного предпринимательского климата и условий для ведения бизнеса.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2.1.2. Задачи муниципальной 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 Создание условий для привлечения инвестиций в развитие экономики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 Повышение предпринимательской активности и развитие малого и среднего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2.1.3. Показатели (индикаторы) достижения целей решения задач.</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Сведения о показателях (индикаторах) муниципальной программы и их значениях, отражены в приложении Таблица -1</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Методики расчёта показателей.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Значение показателя рассчитывается по формуле: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Vpб</w:t>
      </w:r>
      <w:r w:rsidRPr="008D70FF">
        <w:rPr>
          <w:rFonts w:ascii="Times New Roman" w:eastAsia="Times New Roman" w:hAnsi="Times New Roman" w:cs="Times New Roman"/>
          <w:sz w:val="24"/>
          <w:szCs w:val="24"/>
          <w:lang w:eastAsia="ru-RU"/>
        </w:rPr>
        <w:br/>
        <w:t>Vрбмо =---------------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Чсн</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где: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Vрбмо -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V рб - объем расходов бюджета муниципального образования на развитие и поддержку малого и среднего предпринимательства за отчетный период (год) (руб.);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Ч сн - среднегодовая численность постоянного населения муниципального</w:t>
      </w:r>
      <w:r w:rsidRPr="008D70FF">
        <w:rPr>
          <w:rFonts w:ascii="Times New Roman" w:eastAsia="Times New Roman" w:hAnsi="Times New Roman" w:cs="Times New Roman"/>
          <w:sz w:val="24"/>
          <w:szCs w:val="24"/>
          <w:lang w:eastAsia="ru-RU"/>
        </w:rPr>
        <w:br/>
        <w:t>образования                                                              (человек).</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Разъяснения по показателю.</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При расчете данного показателя отражаются расходы на решение вопросов местного значения в области содействия развитию малого и среднего предпринимательства в рамках реализации мероприятий муниципальных программ по развитию малого и среднего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качестве исходных данных при формировании значения регионального показателя эффективности развития муниципальных районов и городских округов Воронежской области в части определения среднегодовой численности постоянного населения муниципального образования используются данные, предоставляемые территориальным органом Федеральной службы государственной статистики по Воронежской области.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2.1.4. Основные, ожидаемые конечные результаты муниципальной  программы.</w:t>
      </w:r>
    </w:p>
    <w:tbl>
      <w:tblPr>
        <w:tblW w:w="9371" w:type="dxa"/>
        <w:tblCellSpacing w:w="0" w:type="dxa"/>
        <w:tblCellMar>
          <w:left w:w="0" w:type="dxa"/>
          <w:right w:w="0" w:type="dxa"/>
        </w:tblCellMar>
        <w:tblLook w:val="04A0" w:firstRow="1" w:lastRow="0" w:firstColumn="1" w:lastColumn="0" w:noHBand="0" w:noVBand="1"/>
      </w:tblPr>
      <w:tblGrid>
        <w:gridCol w:w="3843"/>
        <w:gridCol w:w="960"/>
        <w:gridCol w:w="960"/>
        <w:gridCol w:w="960"/>
        <w:gridCol w:w="960"/>
        <w:gridCol w:w="960"/>
        <w:gridCol w:w="728"/>
      </w:tblGrid>
      <w:tr w:rsidR="008D70FF" w:rsidRPr="008D70FF" w:rsidTr="008D70FF">
        <w:trPr>
          <w:trHeight w:val="465"/>
          <w:tblCellSpacing w:w="0" w:type="dxa"/>
        </w:trPr>
        <w:tc>
          <w:tcPr>
            <w:tcW w:w="3843" w:type="dxa"/>
            <w:vMerge w:val="restart"/>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Наименование показателя (индикатора)</w:t>
            </w:r>
          </w:p>
        </w:tc>
        <w:tc>
          <w:tcPr>
            <w:tcW w:w="5528" w:type="dxa"/>
            <w:gridSpan w:val="6"/>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годы реализации</w:t>
            </w:r>
          </w:p>
        </w:tc>
      </w:tr>
      <w:tr w:rsidR="008D70FF" w:rsidRPr="008D70FF" w:rsidTr="008D70FF">
        <w:trPr>
          <w:trHeight w:val="315"/>
          <w:tblCellSpacing w:w="0" w:type="dxa"/>
        </w:trPr>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w:t>
            </w: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w:t>
            </w: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w:t>
            </w: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w:t>
            </w: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w:t>
            </w:r>
          </w:p>
        </w:tc>
        <w:tc>
          <w:tcPr>
            <w:tcW w:w="728"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w:t>
            </w:r>
          </w:p>
        </w:tc>
      </w:tr>
      <w:tr w:rsidR="008D70FF" w:rsidRPr="008D70FF" w:rsidTr="008D70FF">
        <w:trPr>
          <w:trHeight w:val="1408"/>
          <w:tblCellSpacing w:w="0" w:type="dxa"/>
        </w:trPr>
        <w:tc>
          <w:tcPr>
            <w:tcW w:w="38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4,14</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4,17</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4,21</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4,24</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4,28</w:t>
            </w:r>
          </w:p>
        </w:tc>
        <w:tc>
          <w:tcPr>
            <w:tcW w:w="728"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4,32</w:t>
            </w:r>
          </w:p>
        </w:tc>
      </w:tr>
    </w:tbl>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2.1.5. Этапы реализации 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Общий срок реализации программы рассчитан на период 2015-2020 гг. Программа реализуется в один этап.</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 Обоснование выделения подпрограмм и обобщенная характеристика основных мероприятий.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3.1. Обоснование выделения подпрограмм.</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Роль малого и среднего предпринимательства в экономике сельского поселения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Выполнить свою социально-экономическую и политическую роль малое и среднее предпринимательство сможет только при наличии благоприятных условий для его деятельности. Создание условий для развития малого и среднего предпринимательства является задачей органов местного самоуправления.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сельском поселении.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Подпрограмма «Развитие и поддержка малого и среднего предпринимательства» состоит из 1 основного мероприятия: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 Финансовое обеспечение мероприятий согласно Соглашению по передаче полномочий.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Исполнителями подпрограммы являются: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администрация Новомакаровского сельского поселения Грибановского муниципального района Воронежской области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отдел социально - экономического развития и программ администрации Грибановского муниципального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отдел по финансам администрации Грибановского муниципального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Ожидаемые результаты реализации подпрограммы к 2020 году составят: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насыщение потребительского рынка товарами и услугами, удовлетворение потребительского спроса населения.</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xml:space="preserve">Сведения о показателях (индикаторах) муниципальной программы и их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значениях.</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bl>
      <w:tblPr>
        <w:tblW w:w="9376" w:type="dxa"/>
        <w:tblCellSpacing w:w="0" w:type="dxa"/>
        <w:tblCellMar>
          <w:left w:w="0" w:type="dxa"/>
          <w:right w:w="0" w:type="dxa"/>
        </w:tblCellMar>
        <w:tblLook w:val="04A0" w:firstRow="1" w:lastRow="0" w:firstColumn="1" w:lastColumn="0" w:noHBand="0" w:noVBand="1"/>
      </w:tblPr>
      <w:tblGrid>
        <w:gridCol w:w="715"/>
        <w:gridCol w:w="2244"/>
        <w:gridCol w:w="1113"/>
        <w:gridCol w:w="904"/>
        <w:gridCol w:w="904"/>
        <w:gridCol w:w="904"/>
        <w:gridCol w:w="904"/>
        <w:gridCol w:w="904"/>
        <w:gridCol w:w="784"/>
      </w:tblGrid>
      <w:tr w:rsidR="008D70FF" w:rsidRPr="008D70FF" w:rsidTr="008D70FF">
        <w:trPr>
          <w:trHeight w:val="675"/>
          <w:tblCellSpacing w:w="0" w:type="dxa"/>
        </w:trPr>
        <w:tc>
          <w:tcPr>
            <w:tcW w:w="715"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п/п</w:t>
            </w:r>
          </w:p>
        </w:tc>
        <w:tc>
          <w:tcPr>
            <w:tcW w:w="2244"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Наименование показателя (индикатора)</w:t>
            </w:r>
          </w:p>
        </w:tc>
        <w:tc>
          <w:tcPr>
            <w:tcW w:w="1113"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Ед. измерения</w:t>
            </w:r>
          </w:p>
        </w:tc>
        <w:tc>
          <w:tcPr>
            <w:tcW w:w="5304" w:type="dxa"/>
            <w:gridSpan w:val="6"/>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Значения показателя (индикатора) по годам реализации муниципальной программы</w:t>
            </w:r>
          </w:p>
        </w:tc>
      </w:tr>
      <w:tr w:rsidR="008D70FF" w:rsidRPr="008D70FF" w:rsidTr="008D70FF">
        <w:trPr>
          <w:trHeight w:val="255"/>
          <w:tblCellSpacing w:w="0" w:type="dxa"/>
        </w:trPr>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w:t>
            </w:r>
          </w:p>
        </w:tc>
        <w:tc>
          <w:tcPr>
            <w:tcW w:w="78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w:t>
            </w:r>
          </w:p>
        </w:tc>
      </w:tr>
      <w:tr w:rsidR="008D70FF" w:rsidRPr="008D70FF" w:rsidTr="008D70FF">
        <w:trPr>
          <w:trHeight w:val="255"/>
          <w:tblCellSpacing w:w="0" w:type="dxa"/>
        </w:trPr>
        <w:tc>
          <w:tcPr>
            <w:tcW w:w="715"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w:t>
            </w:r>
          </w:p>
        </w:tc>
        <w:tc>
          <w:tcPr>
            <w:tcW w:w="224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w:t>
            </w:r>
          </w:p>
        </w:tc>
        <w:tc>
          <w:tcPr>
            <w:tcW w:w="11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5</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6</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7</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8</w:t>
            </w:r>
          </w:p>
        </w:tc>
        <w:tc>
          <w:tcPr>
            <w:tcW w:w="78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9</w:t>
            </w:r>
          </w:p>
        </w:tc>
      </w:tr>
      <w:tr w:rsidR="008D70FF" w:rsidRPr="008D70FF" w:rsidTr="008D70FF">
        <w:trPr>
          <w:trHeight w:val="615"/>
          <w:tblCellSpacing w:w="0" w:type="dxa"/>
        </w:trPr>
        <w:tc>
          <w:tcPr>
            <w:tcW w:w="9376" w:type="dxa"/>
            <w:gridSpan w:val="9"/>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МУНИЦИПАЛЬНАЯ ПРОГРАММА «Развитие и поддержка малого и среднего предпринимательства в Новомакаровском сельском поселении Грибановского муниципального района» на 2015-2020гг.</w:t>
            </w:r>
          </w:p>
        </w:tc>
      </w:tr>
      <w:tr w:rsidR="008D70FF" w:rsidRPr="008D70FF" w:rsidTr="008D70FF">
        <w:trPr>
          <w:trHeight w:val="330"/>
          <w:tblCellSpacing w:w="0" w:type="dxa"/>
        </w:trPr>
        <w:tc>
          <w:tcPr>
            <w:tcW w:w="9376" w:type="dxa"/>
            <w:gridSpan w:val="9"/>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ПОДПРОГРАММА 1  «Развитие и поддержка малого и среднего предпринимательства»</w:t>
            </w:r>
          </w:p>
        </w:tc>
      </w:tr>
      <w:tr w:rsidR="008D70FF" w:rsidRPr="008D70FF" w:rsidTr="008D70FF">
        <w:trPr>
          <w:trHeight w:val="1530"/>
          <w:tblCellSpacing w:w="0" w:type="dxa"/>
        </w:trPr>
        <w:tc>
          <w:tcPr>
            <w:tcW w:w="715"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1.1.1</w:t>
            </w:r>
          </w:p>
        </w:tc>
        <w:tc>
          <w:tcPr>
            <w:tcW w:w="2244"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w:t>
            </w:r>
          </w:p>
        </w:tc>
        <w:tc>
          <w:tcPr>
            <w:tcW w:w="11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рублей</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4,14</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4,17</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4,21</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4,24</w:t>
            </w:r>
          </w:p>
        </w:tc>
        <w:tc>
          <w:tcPr>
            <w:tcW w:w="90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4,28</w:t>
            </w:r>
          </w:p>
        </w:tc>
        <w:tc>
          <w:tcPr>
            <w:tcW w:w="78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4,32</w:t>
            </w:r>
          </w:p>
        </w:tc>
      </w:tr>
    </w:tbl>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3.2. Обобщенная характеристика основных мероприятий.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Мероприятие 1. Финансовое обеспечение мероприятий согласно Соглашению по передаче полномочий.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Цель мероприятия – Создание благоприятного предпринимательского климата и условий для ведения бизнеса.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Реализация мероприятия – субсидирование начинающих субъектов малого и среднего предпринимательства на создание собственного дела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Исполнители: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администрация Новомакаровского сельского поселения  Грибановского муниципального района Воронежской области;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отдел социально - экономического развития и программ администрации Грибановского муниципального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отдел по финансам администрации Грибановского муниципального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Финансирование мероприятия: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Всего – 15,0.руб., в том числе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из местного бюджета – 15,0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том числе по годам реализации: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 Ресурсное обеспечение реализации муниципальной 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Общий объем финансовых средств, для реализации программы составляет 15,0 тыс. руб.</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4.1. Объемы и источники финансирования</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муниципальной программы.</w:t>
      </w:r>
    </w:p>
    <w:tbl>
      <w:tblPr>
        <w:tblW w:w="9280" w:type="dxa"/>
        <w:tblCellSpacing w:w="0" w:type="dxa"/>
        <w:tblCellMar>
          <w:left w:w="0" w:type="dxa"/>
          <w:right w:w="0" w:type="dxa"/>
        </w:tblCellMar>
        <w:tblLook w:val="04A0" w:firstRow="1" w:lastRow="0" w:firstColumn="1" w:lastColumn="0" w:noHBand="0" w:noVBand="1"/>
      </w:tblPr>
      <w:tblGrid>
        <w:gridCol w:w="618"/>
        <w:gridCol w:w="1770"/>
        <w:gridCol w:w="1292"/>
        <w:gridCol w:w="795"/>
        <w:gridCol w:w="692"/>
        <w:gridCol w:w="898"/>
        <w:gridCol w:w="795"/>
        <w:gridCol w:w="795"/>
        <w:gridCol w:w="795"/>
        <w:gridCol w:w="830"/>
      </w:tblGrid>
      <w:tr w:rsidR="008D70FF" w:rsidRPr="008D70FF" w:rsidTr="008D70FF">
        <w:trPr>
          <w:trHeight w:val="739"/>
          <w:tblCellSpacing w:w="0" w:type="dxa"/>
        </w:trPr>
        <w:tc>
          <w:tcPr>
            <w:tcW w:w="58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N  п/п </w:t>
            </w:r>
          </w:p>
        </w:tc>
        <w:tc>
          <w:tcPr>
            <w:tcW w:w="176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Наименование показателя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Единица измерения</w:t>
            </w:r>
          </w:p>
        </w:tc>
        <w:tc>
          <w:tcPr>
            <w:tcW w:w="8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 год</w:t>
            </w:r>
          </w:p>
        </w:tc>
        <w:tc>
          <w:tcPr>
            <w:tcW w:w="69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 год</w:t>
            </w:r>
          </w:p>
        </w:tc>
        <w:tc>
          <w:tcPr>
            <w:tcW w:w="90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 год</w:t>
            </w:r>
          </w:p>
        </w:tc>
        <w:tc>
          <w:tcPr>
            <w:tcW w:w="8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 год</w:t>
            </w:r>
          </w:p>
        </w:tc>
        <w:tc>
          <w:tcPr>
            <w:tcW w:w="8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 год</w:t>
            </w:r>
          </w:p>
        </w:tc>
        <w:tc>
          <w:tcPr>
            <w:tcW w:w="8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 год</w:t>
            </w:r>
          </w:p>
        </w:tc>
        <w:tc>
          <w:tcPr>
            <w:tcW w:w="834"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всего  </w:t>
            </w:r>
          </w:p>
        </w:tc>
      </w:tr>
      <w:tr w:rsidR="008D70FF" w:rsidRPr="008D70FF" w:rsidTr="008D70FF">
        <w:trPr>
          <w:trHeight w:val="849"/>
          <w:tblCellSpacing w:w="0" w:type="dxa"/>
        </w:trPr>
        <w:tc>
          <w:tcPr>
            <w:tcW w:w="58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1.  </w:t>
            </w:r>
          </w:p>
        </w:tc>
        <w:tc>
          <w:tcPr>
            <w:tcW w:w="176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Объем финансирования, всего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69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9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3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15,0</w:t>
            </w:r>
          </w:p>
        </w:tc>
      </w:tr>
      <w:tr w:rsidR="008D70FF" w:rsidRPr="008D70FF" w:rsidTr="008D70FF">
        <w:trPr>
          <w:trHeight w:val="385"/>
          <w:tblCellSpacing w:w="0" w:type="dxa"/>
        </w:trPr>
        <w:tc>
          <w:tcPr>
            <w:tcW w:w="58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176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в том числе: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69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9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3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r>
      <w:tr w:rsidR="008D70FF" w:rsidRPr="008D70FF" w:rsidTr="008D70FF">
        <w:trPr>
          <w:trHeight w:val="583"/>
          <w:tblCellSpacing w:w="0" w:type="dxa"/>
        </w:trPr>
        <w:tc>
          <w:tcPr>
            <w:tcW w:w="58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1.1.</w:t>
            </w:r>
          </w:p>
        </w:tc>
        <w:tc>
          <w:tcPr>
            <w:tcW w:w="176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федеральный бюджет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69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9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3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r>
      <w:tr w:rsidR="008D70FF" w:rsidRPr="008D70FF" w:rsidTr="008D70FF">
        <w:trPr>
          <w:trHeight w:val="510"/>
          <w:tblCellSpacing w:w="0" w:type="dxa"/>
        </w:trPr>
        <w:tc>
          <w:tcPr>
            <w:tcW w:w="58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1.2.</w:t>
            </w:r>
          </w:p>
        </w:tc>
        <w:tc>
          <w:tcPr>
            <w:tcW w:w="176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областной бюджет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69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9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3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r>
      <w:tr w:rsidR="008D70FF" w:rsidRPr="008D70FF" w:rsidTr="008D70FF">
        <w:trPr>
          <w:trHeight w:val="510"/>
          <w:tblCellSpacing w:w="0" w:type="dxa"/>
        </w:trPr>
        <w:tc>
          <w:tcPr>
            <w:tcW w:w="58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1.3.</w:t>
            </w:r>
          </w:p>
        </w:tc>
        <w:tc>
          <w:tcPr>
            <w:tcW w:w="176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местный бюджет</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69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9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3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15,0</w:t>
            </w:r>
          </w:p>
        </w:tc>
      </w:tr>
      <w:tr w:rsidR="008D70FF" w:rsidRPr="008D70FF" w:rsidTr="008D70FF">
        <w:trPr>
          <w:trHeight w:val="644"/>
          <w:tblCellSpacing w:w="0" w:type="dxa"/>
        </w:trPr>
        <w:tc>
          <w:tcPr>
            <w:tcW w:w="586"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1.4.</w:t>
            </w:r>
          </w:p>
        </w:tc>
        <w:tc>
          <w:tcPr>
            <w:tcW w:w="176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внебюджетные источники</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69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9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1"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3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r>
    </w:tbl>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5. Анализ рисков реализации муниципальной программы и описание мер управления рисками реализации муниципальной 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Риски реализации программы, а также соответствующие способы управления соответствующими рисками представлены ниже.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bl>
      <w:tblPr>
        <w:tblW w:w="94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7"/>
        <w:gridCol w:w="1417"/>
        <w:gridCol w:w="4820"/>
      </w:tblGrid>
      <w:tr w:rsidR="008D70FF" w:rsidRPr="008D70FF" w:rsidTr="008D70FF">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Возможные риски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Оценка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влияния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Способы управления рисками</w:t>
            </w:r>
          </w:p>
        </w:tc>
      </w:tr>
      <w:tr w:rsidR="008D70FF" w:rsidRPr="008D70FF" w:rsidTr="008D70FF">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Появление на территории муниципального образования крупных сетевых компаний, составляющих конкуренцию хозяйствующим субъектам, осуществляющим розничную торговлю, располагающихся на территории поселения.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высокая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Наличие свободных инфраструктурно–обустроенных участков для размещения новых производств.</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Наращивание объемов производства за счет более эффективного использования материальных ресурсов.</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Загрузка имеющихся на территории неиспользуемых производственных мощностей.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Привлечение инвестиций в создание новых производств, новых видов продукции.</w:t>
            </w:r>
          </w:p>
        </w:tc>
      </w:tr>
      <w:tr w:rsidR="008D70FF" w:rsidRPr="008D70FF" w:rsidTr="008D70FF">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Снижение инвестиционной активности бизнеса, невозможность перехода к диверсифицированному росту</w:t>
            </w:r>
          </w:p>
        </w:tc>
        <w:tc>
          <w:tcPr>
            <w:tcW w:w="141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средняя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Открытость и лояльность властей к инвесторам.</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Активизация инвестиционной и инновационной деятельности.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Повышение уровня инновационной активности предприятий за счет ускоренного развития инновационной инфраструктуры.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Эффективное использование географического положения поселения для привлечения инвесторов</w:t>
            </w:r>
          </w:p>
        </w:tc>
      </w:tr>
      <w:tr w:rsidR="008D70FF" w:rsidRPr="008D70FF" w:rsidTr="008D70FF">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Зависимость  муниципального образования от внешних инвестиций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высокая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Активная позиция власти по привлечению инвестиций на территорию поселения.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Развитие программно-целевого метода управления (участие в федеральных, областных программах).</w:t>
            </w:r>
          </w:p>
        </w:tc>
      </w:tr>
      <w:tr w:rsidR="008D70FF" w:rsidRPr="008D70FF" w:rsidTr="008D70FF">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Отсутствие защитных мер местного </w:t>
            </w:r>
            <w:r w:rsidRPr="008D70FF">
              <w:rPr>
                <w:rFonts w:ascii="Times New Roman" w:eastAsia="Times New Roman" w:hAnsi="Times New Roman" w:cs="Times New Roman"/>
                <w:sz w:val="24"/>
                <w:szCs w:val="24"/>
                <w:lang w:eastAsia="ru-RU"/>
              </w:rPr>
              <w:lastRenderedPageBreak/>
              <w:t>товаропроизводителя на внутреннем рынке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средняя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Расширение рынка сбыта продукции местных </w:t>
            </w:r>
            <w:r w:rsidRPr="008D70FF">
              <w:rPr>
                <w:rFonts w:ascii="Times New Roman" w:eastAsia="Times New Roman" w:hAnsi="Times New Roman" w:cs="Times New Roman"/>
                <w:sz w:val="24"/>
                <w:szCs w:val="24"/>
                <w:lang w:eastAsia="ru-RU"/>
              </w:rPr>
              <w:lastRenderedPageBreak/>
              <w:t>товаропроизводителей.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Увеличение объемов производства и расширение рынков сбыта промышленной и сельскохозяйственной продукции.</w:t>
            </w:r>
          </w:p>
        </w:tc>
      </w:tr>
      <w:tr w:rsidR="008D70FF" w:rsidRPr="008D70FF" w:rsidTr="008D70FF">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Увеличение оттока активной части населения, особенно молодежи.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средняя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Создание новых рабочих мест в условиях развивающейся экономики.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Дальнейшее развитие строительной отрасли, развитие жилищного строительства.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Рост уровня развития сферы услуг и качества.</w:t>
            </w:r>
          </w:p>
        </w:tc>
      </w:tr>
      <w:tr w:rsidR="008D70FF" w:rsidRPr="008D70FF" w:rsidTr="008D70FF">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Ликвидация предприятий торговли и бытового обслуживания.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высокая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Размещение новых производств на свободных инфраструктурно -обустроенных участках.</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Развитие производств по переработке и реализации сельскохозяйственной продукции, предприятий пищевой промышленности.</w:t>
            </w:r>
          </w:p>
        </w:tc>
      </w:tr>
      <w:tr w:rsidR="008D70FF" w:rsidRPr="008D70FF" w:rsidTr="008D70FF">
        <w:trPr>
          <w:tblCellSpacing w:w="0" w:type="dxa"/>
        </w:trPr>
        <w:tc>
          <w:tcPr>
            <w:tcW w:w="322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Низкий уровень жизни и деловой активности населения в поселении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высокая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Увеличение объемов производства сельскохозяйственной продукции в ЛПХ поселения</w:t>
            </w:r>
          </w:p>
        </w:tc>
      </w:tr>
    </w:tbl>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При любом сценарии реализации Программы существуют следующие риски: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финансовые риски, связанные с возникновением бюджетного дефицита и вследствие этого недостаточным уровнем бюджетного финансирования;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Вместе с тем следует учитывать определенные риски целевого программирования: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-формальный подход к формированию мероприятий в муниципальных программах;</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отсутствие координации планируемых мероприятий по срокам их реализации;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недостаточное или частичное финансирование из региональных бюджетов.</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6. Оценка эффективности реализации муниципальной 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результате реализации мероприятий Программы к 2020 году будут достигнуты следующий социально-экономические показатель:</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составит 4,32 рубля.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7. Подпрограммы муниципальной программы.</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ПОДПРОГРАММА № 1</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2015-2020гг.</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ПАСПОРТ</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Подпрограммы «Развитие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2015-2020гг.</w:t>
      </w:r>
    </w:p>
    <w:tbl>
      <w:tblPr>
        <w:tblW w:w="9360" w:type="dxa"/>
        <w:tblCellSpacing w:w="0" w:type="dxa"/>
        <w:tblCellMar>
          <w:left w:w="0" w:type="dxa"/>
          <w:right w:w="0" w:type="dxa"/>
        </w:tblCellMar>
        <w:tblLook w:val="04A0" w:firstRow="1" w:lastRow="0" w:firstColumn="1" w:lastColumn="0" w:noHBand="0" w:noVBand="1"/>
      </w:tblPr>
      <w:tblGrid>
        <w:gridCol w:w="3806"/>
        <w:gridCol w:w="5554"/>
      </w:tblGrid>
      <w:tr w:rsidR="008D70FF" w:rsidRPr="008D70FF" w:rsidTr="008D70FF">
        <w:trPr>
          <w:trHeight w:val="240"/>
          <w:tblCellSpacing w:w="0" w:type="dxa"/>
        </w:trPr>
        <w:tc>
          <w:tcPr>
            <w:tcW w:w="30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Исполнители подпрограммы муниципальной программы</w:t>
            </w:r>
          </w:p>
        </w:tc>
        <w:tc>
          <w:tcPr>
            <w:tcW w:w="62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Администрация Новомакаровского сельского  поселения Грибановского муниципального района Воронежской области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Отдел социально-экономического развития и программ администрации Грибановского муниципального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Отдел по финансам администрации Грибановского муниципального района</w:t>
            </w:r>
          </w:p>
        </w:tc>
      </w:tr>
      <w:tr w:rsidR="008D70FF" w:rsidRPr="008D70FF" w:rsidTr="008D70FF">
        <w:trPr>
          <w:trHeight w:val="480"/>
          <w:tblCellSpacing w:w="0" w:type="dxa"/>
        </w:trPr>
        <w:tc>
          <w:tcPr>
            <w:tcW w:w="30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Основные мероприятия,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входящие в состав подпрограммы </w:t>
            </w:r>
            <w:r w:rsidRPr="008D70FF">
              <w:rPr>
                <w:rFonts w:ascii="Times New Roman" w:eastAsia="Times New Roman" w:hAnsi="Times New Roman" w:cs="Times New Roman"/>
                <w:sz w:val="24"/>
                <w:szCs w:val="24"/>
                <w:lang w:eastAsia="ru-RU"/>
              </w:rPr>
              <w:lastRenderedPageBreak/>
              <w:t>муниципальной программы</w:t>
            </w:r>
          </w:p>
        </w:tc>
        <w:tc>
          <w:tcPr>
            <w:tcW w:w="62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xml:space="preserve">Мероприятие 1. Финансовое обеспечение мероприятий согласно Соглашению по передаче </w:t>
            </w:r>
            <w:r w:rsidRPr="008D70FF">
              <w:rPr>
                <w:rFonts w:ascii="Times New Roman" w:eastAsia="Times New Roman" w:hAnsi="Times New Roman" w:cs="Times New Roman"/>
                <w:sz w:val="24"/>
                <w:szCs w:val="24"/>
                <w:lang w:eastAsia="ru-RU"/>
              </w:rPr>
              <w:lastRenderedPageBreak/>
              <w:t>полномочий.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r>
      <w:tr w:rsidR="008D70FF" w:rsidRPr="008D70FF" w:rsidTr="008D70FF">
        <w:trPr>
          <w:trHeight w:val="240"/>
          <w:tblCellSpacing w:w="0" w:type="dxa"/>
        </w:trPr>
        <w:tc>
          <w:tcPr>
            <w:tcW w:w="30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Цель подпрограммы муниципальной                 программы</w:t>
            </w:r>
          </w:p>
        </w:tc>
        <w:tc>
          <w:tcPr>
            <w:tcW w:w="62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Создание благоприятного предпринимательского климата и условий для ведения бизнеса </w:t>
            </w:r>
          </w:p>
        </w:tc>
      </w:tr>
      <w:tr w:rsidR="008D70FF" w:rsidRPr="008D70FF" w:rsidTr="008D70FF">
        <w:trPr>
          <w:trHeight w:val="240"/>
          <w:tblCellSpacing w:w="0" w:type="dxa"/>
        </w:trPr>
        <w:tc>
          <w:tcPr>
            <w:tcW w:w="30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Задачи подпрограммы муниципальной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62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 Создание условий для привлечения инвестиций в развитие экономики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 Повышение предпринимательской активности и развитие малого и среднего предпринимательства.</w:t>
            </w:r>
          </w:p>
        </w:tc>
      </w:tr>
      <w:tr w:rsidR="008D70FF" w:rsidRPr="008D70FF" w:rsidTr="008D70FF">
        <w:trPr>
          <w:trHeight w:val="240"/>
          <w:tblCellSpacing w:w="0" w:type="dxa"/>
        </w:trPr>
        <w:tc>
          <w:tcPr>
            <w:tcW w:w="30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Основные целевые показатели и индикаторы подпрограммы муниципальной программы</w:t>
            </w:r>
          </w:p>
        </w:tc>
        <w:tc>
          <w:tcPr>
            <w:tcW w:w="62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r>
      <w:tr w:rsidR="008D70FF" w:rsidRPr="008D70FF" w:rsidTr="008D70FF">
        <w:trPr>
          <w:trHeight w:val="240"/>
          <w:tblCellSpacing w:w="0" w:type="dxa"/>
        </w:trPr>
        <w:tc>
          <w:tcPr>
            <w:tcW w:w="30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Сроки реализации подпрограммы муниципальной программы</w:t>
            </w:r>
          </w:p>
        </w:tc>
        <w:tc>
          <w:tcPr>
            <w:tcW w:w="62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Срок реализации подпрограммы 2015-2020 годы. </w:t>
            </w:r>
          </w:p>
        </w:tc>
      </w:tr>
      <w:tr w:rsidR="008D70FF" w:rsidRPr="008D70FF" w:rsidTr="008D70FF">
        <w:trPr>
          <w:trHeight w:val="3115"/>
          <w:tblCellSpacing w:w="0" w:type="dxa"/>
        </w:trPr>
        <w:tc>
          <w:tcPr>
            <w:tcW w:w="30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Объемы и источники финансирования подпрограммы муниципальной программы, тыс. руб.</w:t>
            </w:r>
          </w:p>
        </w:tc>
        <w:tc>
          <w:tcPr>
            <w:tcW w:w="62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Общий объем финансирования подпрограммы – 15,0 тыс. 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том числе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из местного бюджета – 15,0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том числе по годам реализации: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2020г. – 2,5 тыс.руб.</w:t>
            </w:r>
          </w:p>
        </w:tc>
      </w:tr>
      <w:tr w:rsidR="008D70FF" w:rsidRPr="008D70FF" w:rsidTr="008D70FF">
        <w:trPr>
          <w:trHeight w:val="360"/>
          <w:tblCellSpacing w:w="0" w:type="dxa"/>
        </w:trPr>
        <w:tc>
          <w:tcPr>
            <w:tcW w:w="30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Ожидаемые непосредственные результаты реализации подпрограммы муниципальной программы</w:t>
            </w:r>
          </w:p>
        </w:tc>
        <w:tc>
          <w:tcPr>
            <w:tcW w:w="627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Достижения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в 2020 году до 4,32  рубля.</w:t>
            </w:r>
          </w:p>
        </w:tc>
      </w:tr>
    </w:tbl>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1.     Характеристика сферы реализации подпрограммы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Малый бизнес как явление социальное, экономическое и политическое, охватывающее практически все отрасли деятельности, должен решить для развития Новомакаровского сельского поселения  следующие основные задачи: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в экономическом - содействовать развитию конкурентной рыночной экономики, увеличению валового районного продукта, повышению доходов бюджета поселения и внебюджетных фондов;</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в политическом - обеспечить формирование среднего класса - основного гаранта социальной и политической стабильности общества.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Развитие МСП продолжает сдерживаться следующими основными проблемами: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недостаточным ресурсным обеспечением (финансовым и имущественным) субъектов МП и объектов инфраструктуры ПМП, включая: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а) недостаточный доступ к стартовому капиталу для начинающих предпринимателей;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б) недостаточный доступ к капиталу для реализации перспективных инвестиционных проектов развивающихся предприятий;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в) неразвитая система государственной гарантийной поддержки субъектов МСП, обращающихся за кредитами в коммерческие банки;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г) неразвитость инфраструктуры малого бизнеса на территории  поселения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наличием на практике административных барьеров во взаимоотношениях малого бизнеса и власти на всех уровнях, сдерживающих развитие МСП;</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социальной незащищенностью наемных работников в сфере МСП, сохранением нарушений в трудовых отношениях работодателей с работающими по найму, вызывающими текучесть кадров в предпринимательской среде;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недобросовестной конкуренцией на товарных рынках по отношению к малым предприятиям.</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  Подпрограмма муниципальной программы разработана на основе анализа современного состояния малого бизнеса в районе, тенденций развития МСП в области и с учетом результатов выполнения районных мероприятий по развитию и поддержки МСП в предыдущие годы.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2.1. Цели подпрограммы.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Целью подпрограммы является создание благоприятного предпринимательского климата и условий для ведения бизнеса</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2.2. Задачи подпрограммы.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 Создание условий для привлечения инвестиций в развитие экономики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 Повышение предпринимательской активности и развитие малого и среднего предпринимательства.</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2.3. Показатели (индикаторы) достижения целей решения задач.</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результате реализации мероприятий подпрограммы в 2020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 Показатели экономической эффективности: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Оценка достижения показателя производится на основании мониторинга;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процентах к предыдущему году.</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Оценка достижения показателя производится на основании мониторинга или при помощи оценочных данных.</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 Показатели социальной эффективности: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2.4. Основные, ожидаемые конечные результаты подпрограммы муниципальной программы</w:t>
      </w:r>
    </w:p>
    <w:tbl>
      <w:tblPr>
        <w:tblW w:w="9371" w:type="dxa"/>
        <w:tblCellSpacing w:w="0" w:type="dxa"/>
        <w:tblCellMar>
          <w:left w:w="0" w:type="dxa"/>
          <w:right w:w="0" w:type="dxa"/>
        </w:tblCellMar>
        <w:tblLook w:val="04A0" w:firstRow="1" w:lastRow="0" w:firstColumn="1" w:lastColumn="0" w:noHBand="0" w:noVBand="1"/>
      </w:tblPr>
      <w:tblGrid>
        <w:gridCol w:w="3843"/>
        <w:gridCol w:w="960"/>
        <w:gridCol w:w="960"/>
        <w:gridCol w:w="960"/>
        <w:gridCol w:w="960"/>
        <w:gridCol w:w="960"/>
        <w:gridCol w:w="728"/>
      </w:tblGrid>
      <w:tr w:rsidR="008D70FF" w:rsidRPr="008D70FF" w:rsidTr="008D70FF">
        <w:trPr>
          <w:trHeight w:val="465"/>
          <w:tblCellSpacing w:w="0" w:type="dxa"/>
        </w:trPr>
        <w:tc>
          <w:tcPr>
            <w:tcW w:w="3843" w:type="dxa"/>
            <w:vMerge w:val="restart"/>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Наименование показателя (индикатора)</w:t>
            </w:r>
          </w:p>
        </w:tc>
        <w:tc>
          <w:tcPr>
            <w:tcW w:w="5528" w:type="dxa"/>
            <w:gridSpan w:val="6"/>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годы реализации</w:t>
            </w:r>
          </w:p>
        </w:tc>
      </w:tr>
      <w:tr w:rsidR="008D70FF" w:rsidRPr="008D70FF" w:rsidTr="008D70FF">
        <w:trPr>
          <w:trHeight w:val="315"/>
          <w:tblCellSpacing w:w="0" w:type="dxa"/>
        </w:trPr>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w:t>
            </w: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w:t>
            </w: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w:t>
            </w: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w:t>
            </w:r>
          </w:p>
        </w:tc>
        <w:tc>
          <w:tcPr>
            <w:tcW w:w="96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w:t>
            </w:r>
          </w:p>
        </w:tc>
        <w:tc>
          <w:tcPr>
            <w:tcW w:w="728"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w:t>
            </w:r>
          </w:p>
        </w:tc>
      </w:tr>
      <w:tr w:rsidR="008D70FF" w:rsidRPr="008D70FF" w:rsidTr="008D70FF">
        <w:trPr>
          <w:trHeight w:val="1408"/>
          <w:tblCellSpacing w:w="0" w:type="dxa"/>
        </w:trPr>
        <w:tc>
          <w:tcPr>
            <w:tcW w:w="3843"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4,14</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4,17</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4,21</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4,24</w:t>
            </w:r>
          </w:p>
        </w:tc>
        <w:tc>
          <w:tcPr>
            <w:tcW w:w="96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4,28</w:t>
            </w:r>
          </w:p>
        </w:tc>
        <w:tc>
          <w:tcPr>
            <w:tcW w:w="728"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4,32</w:t>
            </w:r>
          </w:p>
        </w:tc>
      </w:tr>
    </w:tbl>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 Сроки и этапы реализации подпрограммы.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Общий срок реализации подпрограммы рассчитан на период с 2015 по 2020 год (в один этап).</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3.Характеристика основных мероприятий подпрограммы.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Мероприятие 1. Финансовое обеспечение мероприятий согласно Соглашению по передаче полномочий.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Цель мероприятия – Создание благоприятного предпринимательского климата и условий для ведения бизнеса.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Реализация мероприятия – субсидирование начинающих субъектов малого и среднего предпринимательства на создание собственного дела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Исполнители: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администрация Новомакаровского сельского  поселения Грибановского муниципального района Воронежской области;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отдел социально - экономического развития и программ администрации Грибановского муниципального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отдел по финансам администрации Грибановского муниципального района;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Финансирование мероприятия: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Всего – 15,0  тыс.руб., в том числе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из местного бюджета – 15,0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том числе по годам реализации: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2019г.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      Основные меры муниципального и правового регулирования подпрограммы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Подготовка предложений по внесению дополнений и изменений в действующие правовые акты органов местного самоуправления Новомакаровского сельского поселения, регламентирующие поддержку малого и среднего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Поддержка субъектов малого и среднего предпринимательства и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предприятий малого и среднего предпринимательства, поддержку в области  промышленного и сельскохозяйственного  производства.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Принципами поддержки субъектов малого и среднего предпринимательства являются: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 равный доступ субъектов малого и среднего предпринимательства к участию в Программе;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3) оказание поддержки с соблюдением требований, установленных Федеральным </w:t>
      </w:r>
      <w:hyperlink r:id="rId6" w:history="1">
        <w:r w:rsidRPr="008D70FF">
          <w:rPr>
            <w:rFonts w:ascii="Times New Roman" w:eastAsia="Times New Roman" w:hAnsi="Times New Roman" w:cs="Times New Roman"/>
            <w:color w:val="0000FF"/>
            <w:sz w:val="24"/>
            <w:szCs w:val="24"/>
            <w:u w:val="single"/>
            <w:lang w:eastAsia="ru-RU"/>
          </w:rPr>
          <w:t>законом</w:t>
        </w:r>
      </w:hyperlink>
      <w:r w:rsidRPr="008D70FF">
        <w:rPr>
          <w:rFonts w:ascii="Times New Roman" w:eastAsia="Times New Roman" w:hAnsi="Times New Roman" w:cs="Times New Roman"/>
          <w:sz w:val="24"/>
          <w:szCs w:val="24"/>
          <w:lang w:eastAsia="ru-RU"/>
        </w:rPr>
        <w:t xml:space="preserve"> от 26.07.2006 N 135-ФЗ "О защите конкуренции";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 открытость процедур оказания поддержки.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7" w:history="1">
        <w:r w:rsidRPr="008D70FF">
          <w:rPr>
            <w:rFonts w:ascii="Times New Roman" w:eastAsia="Times New Roman" w:hAnsi="Times New Roman" w:cs="Times New Roman"/>
            <w:color w:val="0000FF"/>
            <w:sz w:val="24"/>
            <w:szCs w:val="24"/>
            <w:u w:val="single"/>
            <w:lang w:eastAsia="ru-RU"/>
          </w:rPr>
          <w:t>законом</w:t>
        </w:r>
      </w:hyperlink>
      <w:r w:rsidRPr="008D70FF">
        <w:rPr>
          <w:rFonts w:ascii="Times New Roman" w:eastAsia="Times New Roman" w:hAnsi="Times New Roman" w:cs="Times New Roman"/>
          <w:sz w:val="24"/>
          <w:szCs w:val="24"/>
          <w:lang w:eastAsia="ru-RU"/>
        </w:rPr>
        <w:t xml:space="preserve"> от 24.07.2007 N 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 Срок рассмотрения обращений субъектов малого и среднего предпринимательства составляет не более 30 календарных дней. 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Реализация </w:t>
      </w:r>
      <w:hyperlink r:id="rId8" w:history="1">
        <w:r w:rsidRPr="008D70FF">
          <w:rPr>
            <w:rFonts w:ascii="Times New Roman" w:eastAsia="Times New Roman" w:hAnsi="Times New Roman" w:cs="Times New Roman"/>
            <w:color w:val="0000FF"/>
            <w:sz w:val="24"/>
            <w:szCs w:val="24"/>
            <w:u w:val="single"/>
            <w:lang w:eastAsia="ru-RU"/>
          </w:rPr>
          <w:t xml:space="preserve">мероприятия </w:t>
        </w:r>
      </w:hyperlink>
      <w:r w:rsidRPr="008D70FF">
        <w:rPr>
          <w:rFonts w:ascii="Times New Roman" w:eastAsia="Times New Roman" w:hAnsi="Times New Roman" w:cs="Times New Roman"/>
          <w:sz w:val="24"/>
          <w:szCs w:val="24"/>
          <w:lang w:eastAsia="ru-RU"/>
        </w:rPr>
        <w:t>подпрограммы предусматривает следующие условия: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гранты предоставляются действующим менее одного года малым предприятиям;</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гранты предоставляются при наличии бизнес-проекта, оцениваемого комиссией с участием представителей некоммерческих организаций предпринимателей;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гарантии сохранения рабочих мест или увеличение не менее чем на 1 единицу;</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Предоставление грантов осуществляется на безвозмездной основе.</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Новомакаровского сельского  поселения.</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5.      Характеристика основных мероприятий</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bl>
      <w:tblPr>
        <w:tblW w:w="9375" w:type="dxa"/>
        <w:tblCellSpacing w:w="0" w:type="dxa"/>
        <w:tblCellMar>
          <w:left w:w="0" w:type="dxa"/>
          <w:right w:w="0" w:type="dxa"/>
        </w:tblCellMar>
        <w:tblLook w:val="04A0" w:firstRow="1" w:lastRow="0" w:firstColumn="1" w:lastColumn="0" w:noHBand="0" w:noVBand="1"/>
      </w:tblPr>
      <w:tblGrid>
        <w:gridCol w:w="324"/>
        <w:gridCol w:w="1499"/>
        <w:gridCol w:w="1805"/>
        <w:gridCol w:w="1710"/>
        <w:gridCol w:w="1770"/>
        <w:gridCol w:w="2282"/>
      </w:tblGrid>
      <w:tr w:rsidR="008D70FF" w:rsidRPr="008D70FF" w:rsidTr="008D70FF">
        <w:trPr>
          <w:trHeight w:val="1035"/>
          <w:tblCellSpacing w:w="0" w:type="dxa"/>
        </w:trPr>
        <w:tc>
          <w:tcPr>
            <w:tcW w:w="518"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п/п</w:t>
            </w:r>
          </w:p>
        </w:tc>
        <w:tc>
          <w:tcPr>
            <w:tcW w:w="1617"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Наименование мероприятия </w:t>
            </w:r>
          </w:p>
        </w:tc>
        <w:tc>
          <w:tcPr>
            <w:tcW w:w="1308"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Срок  реализации</w:t>
            </w:r>
          </w:p>
        </w:tc>
        <w:tc>
          <w:tcPr>
            <w:tcW w:w="181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Источники финансирования</w:t>
            </w:r>
          </w:p>
        </w:tc>
        <w:tc>
          <w:tcPr>
            <w:tcW w:w="187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Объёмы финансирования, тыс. руб.</w:t>
            </w:r>
          </w:p>
        </w:tc>
        <w:tc>
          <w:tcPr>
            <w:tcW w:w="224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Ожидаемые результаты</w:t>
            </w:r>
          </w:p>
        </w:tc>
      </w:tr>
      <w:tr w:rsidR="008D70FF" w:rsidRPr="008D70FF" w:rsidTr="008D70FF">
        <w:trPr>
          <w:trHeight w:val="270"/>
          <w:tblCellSpacing w:w="0" w:type="dxa"/>
        </w:trPr>
        <w:tc>
          <w:tcPr>
            <w:tcW w:w="518"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w:t>
            </w:r>
          </w:p>
        </w:tc>
        <w:tc>
          <w:tcPr>
            <w:tcW w:w="1617"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w:t>
            </w:r>
          </w:p>
        </w:tc>
        <w:tc>
          <w:tcPr>
            <w:tcW w:w="1308"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w:t>
            </w:r>
          </w:p>
        </w:tc>
        <w:tc>
          <w:tcPr>
            <w:tcW w:w="181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w:t>
            </w:r>
          </w:p>
        </w:tc>
        <w:tc>
          <w:tcPr>
            <w:tcW w:w="187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8</w:t>
            </w:r>
          </w:p>
        </w:tc>
        <w:tc>
          <w:tcPr>
            <w:tcW w:w="2244"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9</w:t>
            </w:r>
          </w:p>
        </w:tc>
      </w:tr>
      <w:tr w:rsidR="008D70FF" w:rsidRPr="008D70FF" w:rsidTr="008D70FF">
        <w:trPr>
          <w:trHeight w:val="1290"/>
          <w:tblCellSpacing w:w="0" w:type="dxa"/>
        </w:trPr>
        <w:tc>
          <w:tcPr>
            <w:tcW w:w="518"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w:t>
            </w:r>
          </w:p>
        </w:tc>
        <w:tc>
          <w:tcPr>
            <w:tcW w:w="1617"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Финансовое обеспечение мероприятий согласно Соглашению по передаче полномочий.</w:t>
            </w:r>
          </w:p>
        </w:tc>
        <w:tc>
          <w:tcPr>
            <w:tcW w:w="130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 – 2020 гг.</w:t>
            </w:r>
          </w:p>
        </w:tc>
        <w:tc>
          <w:tcPr>
            <w:tcW w:w="1814"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местный бюджет</w:t>
            </w:r>
          </w:p>
        </w:tc>
        <w:tc>
          <w:tcPr>
            <w:tcW w:w="187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15,0</w:t>
            </w:r>
          </w:p>
        </w:tc>
        <w:tc>
          <w:tcPr>
            <w:tcW w:w="2244"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Создание условий для эффективной предпринимательской деятельности</w:t>
            </w:r>
          </w:p>
        </w:tc>
      </w:tr>
      <w:tr w:rsidR="008D70FF" w:rsidRPr="008D70FF" w:rsidTr="008D70FF">
        <w:trPr>
          <w:trHeight w:val="525"/>
          <w:tblCellSpacing w:w="0" w:type="dxa"/>
        </w:trPr>
        <w:tc>
          <w:tcPr>
            <w:tcW w:w="51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1617"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ИТОГО </w:t>
            </w:r>
          </w:p>
        </w:tc>
        <w:tc>
          <w:tcPr>
            <w:tcW w:w="1308"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1814"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всего, в том числе </w:t>
            </w:r>
          </w:p>
        </w:tc>
        <w:tc>
          <w:tcPr>
            <w:tcW w:w="187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15,0</w:t>
            </w:r>
          </w:p>
        </w:tc>
        <w:tc>
          <w:tcPr>
            <w:tcW w:w="2244"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r>
      <w:tr w:rsidR="008D70FF" w:rsidRPr="008D70FF" w:rsidTr="008D70FF">
        <w:trPr>
          <w:trHeight w:val="525"/>
          <w:tblCellSpacing w:w="0" w:type="dxa"/>
        </w:trPr>
        <w:tc>
          <w:tcPr>
            <w:tcW w:w="518"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1617"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1308"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1814"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местный бюджет</w:t>
            </w:r>
          </w:p>
        </w:tc>
        <w:tc>
          <w:tcPr>
            <w:tcW w:w="1870"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15,0</w:t>
            </w:r>
          </w:p>
        </w:tc>
        <w:tc>
          <w:tcPr>
            <w:tcW w:w="2244" w:type="dxa"/>
            <w:vAlign w:val="center"/>
            <w:hideMark/>
          </w:tcPr>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r>
    </w:tbl>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6.      Финансовое обеспечение реализации подпрограммы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Общий объем финансирования подпрограммы – 15,0 тыс. руб., из них: - федеральный бюджет –0  тыс. руб., областной бюджет – 0 тыс. руб.; муниципальный бюджет – 15,0  тыс. руб.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том числе по годам реализации: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2019г.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2020г. – 2,5 тыс.руб.</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6.1. Объемы и источники финансирования подпрограммы</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муниципальной программы</w:t>
      </w:r>
    </w:p>
    <w:tbl>
      <w:tblPr>
        <w:tblW w:w="9371" w:type="dxa"/>
        <w:tblCellSpacing w:w="0" w:type="dxa"/>
        <w:tblCellMar>
          <w:left w:w="0" w:type="dxa"/>
          <w:right w:w="0" w:type="dxa"/>
        </w:tblCellMar>
        <w:tblLook w:val="04A0" w:firstRow="1" w:lastRow="0" w:firstColumn="1" w:lastColumn="0" w:noHBand="0" w:noVBand="1"/>
      </w:tblPr>
      <w:tblGrid>
        <w:gridCol w:w="749"/>
        <w:gridCol w:w="2101"/>
        <w:gridCol w:w="1292"/>
        <w:gridCol w:w="806"/>
        <w:gridCol w:w="806"/>
        <w:gridCol w:w="806"/>
        <w:gridCol w:w="806"/>
        <w:gridCol w:w="1013"/>
        <w:gridCol w:w="992"/>
      </w:tblGrid>
      <w:tr w:rsidR="008D70FF" w:rsidRPr="008D70FF" w:rsidTr="008D70FF">
        <w:trPr>
          <w:trHeight w:val="1149"/>
          <w:tblCellSpacing w:w="0" w:type="dxa"/>
        </w:trPr>
        <w:tc>
          <w:tcPr>
            <w:tcW w:w="749"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N  п/п </w:t>
            </w:r>
          </w:p>
        </w:tc>
        <w:tc>
          <w:tcPr>
            <w:tcW w:w="21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Наименование показателя </w:t>
            </w:r>
          </w:p>
        </w:tc>
        <w:tc>
          <w:tcPr>
            <w:tcW w:w="1292"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Единица измерения</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2015 год</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2016 год</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2017 год</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2018 год</w:t>
            </w:r>
          </w:p>
        </w:tc>
        <w:tc>
          <w:tcPr>
            <w:tcW w:w="10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2019 год</w:t>
            </w:r>
          </w:p>
        </w:tc>
        <w:tc>
          <w:tcPr>
            <w:tcW w:w="992"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2020 год</w:t>
            </w:r>
          </w:p>
        </w:tc>
      </w:tr>
      <w:tr w:rsidR="008D70FF" w:rsidRPr="008D70FF" w:rsidTr="008D70FF">
        <w:trPr>
          <w:trHeight w:val="1020"/>
          <w:tblCellSpacing w:w="0" w:type="dxa"/>
        </w:trPr>
        <w:tc>
          <w:tcPr>
            <w:tcW w:w="749"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1.  </w:t>
            </w:r>
          </w:p>
        </w:tc>
        <w:tc>
          <w:tcPr>
            <w:tcW w:w="21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Объем финансирования, всего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10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992"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r>
      <w:tr w:rsidR="008D70FF" w:rsidRPr="008D70FF" w:rsidTr="008D70FF">
        <w:trPr>
          <w:trHeight w:val="510"/>
          <w:tblCellSpacing w:w="0" w:type="dxa"/>
        </w:trPr>
        <w:tc>
          <w:tcPr>
            <w:tcW w:w="749"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21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в том числе: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10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c>
          <w:tcPr>
            <w:tcW w:w="992"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tc>
      </w:tr>
      <w:tr w:rsidR="008D70FF" w:rsidRPr="008D70FF" w:rsidTr="008D70FF">
        <w:trPr>
          <w:trHeight w:val="765"/>
          <w:tblCellSpacing w:w="0" w:type="dxa"/>
        </w:trPr>
        <w:tc>
          <w:tcPr>
            <w:tcW w:w="749"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1.1.</w:t>
            </w:r>
          </w:p>
        </w:tc>
        <w:tc>
          <w:tcPr>
            <w:tcW w:w="21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федеральный бюджет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10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992"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r>
      <w:tr w:rsidR="008D70FF" w:rsidRPr="008D70FF" w:rsidTr="008D70FF">
        <w:trPr>
          <w:trHeight w:val="510"/>
          <w:tblCellSpacing w:w="0" w:type="dxa"/>
        </w:trPr>
        <w:tc>
          <w:tcPr>
            <w:tcW w:w="749"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1.2.</w:t>
            </w:r>
          </w:p>
        </w:tc>
        <w:tc>
          <w:tcPr>
            <w:tcW w:w="21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областной бюджет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10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992"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r>
      <w:tr w:rsidR="008D70FF" w:rsidRPr="008D70FF" w:rsidTr="008D70FF">
        <w:trPr>
          <w:trHeight w:val="510"/>
          <w:tblCellSpacing w:w="0" w:type="dxa"/>
        </w:trPr>
        <w:tc>
          <w:tcPr>
            <w:tcW w:w="749"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1.3.</w:t>
            </w:r>
          </w:p>
        </w:tc>
        <w:tc>
          <w:tcPr>
            <w:tcW w:w="21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местный бюджет</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10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c>
          <w:tcPr>
            <w:tcW w:w="992"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r>
      <w:tr w:rsidR="008D70FF" w:rsidRPr="008D70FF" w:rsidTr="008D70FF">
        <w:trPr>
          <w:trHeight w:val="1020"/>
          <w:tblCellSpacing w:w="0" w:type="dxa"/>
        </w:trPr>
        <w:tc>
          <w:tcPr>
            <w:tcW w:w="749"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1.4.</w:t>
            </w:r>
          </w:p>
        </w:tc>
        <w:tc>
          <w:tcPr>
            <w:tcW w:w="2101"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внебюджетные источники  </w:t>
            </w:r>
          </w:p>
        </w:tc>
        <w:tc>
          <w:tcPr>
            <w:tcW w:w="1292"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тыс.  рублей </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806"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1013"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c>
          <w:tcPr>
            <w:tcW w:w="992"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w:t>
            </w:r>
          </w:p>
        </w:tc>
      </w:tr>
    </w:tbl>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7.                              Анализ рисков реализации подпрограммы и описание мер управления рисками реализации подпрограммы</w:t>
      </w:r>
    </w:p>
    <w:tbl>
      <w:tblPr>
        <w:tblW w:w="94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8"/>
        <w:gridCol w:w="1170"/>
        <w:gridCol w:w="4536"/>
      </w:tblGrid>
      <w:tr w:rsidR="008D70FF" w:rsidRPr="008D70FF" w:rsidTr="008D70FF">
        <w:trPr>
          <w:tblCellSpacing w:w="0" w:type="dxa"/>
        </w:trPr>
        <w:tc>
          <w:tcPr>
            <w:tcW w:w="3758"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Возможные риски</w:t>
            </w:r>
          </w:p>
        </w:tc>
        <w:tc>
          <w:tcPr>
            <w:tcW w:w="117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Оценка влияния</w:t>
            </w:r>
          </w:p>
        </w:tc>
        <w:tc>
          <w:tcPr>
            <w:tcW w:w="4536"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Способы управления рисками</w:t>
            </w:r>
          </w:p>
        </w:tc>
      </w:tr>
      <w:tr w:rsidR="008D70FF" w:rsidRPr="008D70FF" w:rsidTr="008D70FF">
        <w:trPr>
          <w:tblCellSpacing w:w="0" w:type="dxa"/>
        </w:trPr>
        <w:tc>
          <w:tcPr>
            <w:tcW w:w="3758"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Отсутствие защитных мер местного   товаропроизводителя на внутреннем рынке</w:t>
            </w:r>
          </w:p>
        </w:tc>
        <w:tc>
          <w:tcPr>
            <w:tcW w:w="117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средняя</w:t>
            </w:r>
          </w:p>
        </w:tc>
        <w:tc>
          <w:tcPr>
            <w:tcW w:w="4536"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Расширение рынка сбыта продукции местных товаропроизводителей.</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Увеличение объемов производства и расширение рынков сбыта промышленной и сельскохозяйственной продукции.</w:t>
            </w:r>
          </w:p>
        </w:tc>
      </w:tr>
      <w:tr w:rsidR="008D70FF" w:rsidRPr="008D70FF" w:rsidTr="008D70FF">
        <w:trPr>
          <w:tblCellSpacing w:w="0" w:type="dxa"/>
        </w:trPr>
        <w:tc>
          <w:tcPr>
            <w:tcW w:w="3758"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Ликвидация предприятий торговли и бытового обслуживания в малонаселенных пунктах;</w:t>
            </w:r>
          </w:p>
        </w:tc>
        <w:tc>
          <w:tcPr>
            <w:tcW w:w="117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высокая</w:t>
            </w:r>
          </w:p>
        </w:tc>
        <w:tc>
          <w:tcPr>
            <w:tcW w:w="4536"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Размещение новых производств на свободных инфраструктурно - обустроенных участках</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Развитие производств по переработке и реализации сельскохозяйственной продукции, предприятий пищевой промышленности</w:t>
            </w:r>
          </w:p>
        </w:tc>
      </w:tr>
      <w:tr w:rsidR="008D70FF" w:rsidRPr="008D70FF" w:rsidTr="008D70FF">
        <w:trPr>
          <w:tblCellSpacing w:w="0" w:type="dxa"/>
        </w:trPr>
        <w:tc>
          <w:tcPr>
            <w:tcW w:w="3758"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xml:space="preserve">Низкий уровень жизни и деловой активности населения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высокая</w:t>
            </w:r>
          </w:p>
        </w:tc>
        <w:tc>
          <w:tcPr>
            <w:tcW w:w="4536" w:type="dxa"/>
            <w:tcBorders>
              <w:top w:val="outset" w:sz="6" w:space="0" w:color="auto"/>
              <w:left w:val="outset" w:sz="6" w:space="0" w:color="auto"/>
              <w:bottom w:val="outset" w:sz="6" w:space="0" w:color="auto"/>
              <w:right w:val="outset" w:sz="6" w:space="0" w:color="auto"/>
            </w:tcBorders>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Увеличение объемов производства сельскохозяйственной продукции в ЛПХ поселения</w:t>
            </w:r>
          </w:p>
        </w:tc>
      </w:tr>
    </w:tbl>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8.      Оценка эффективности реализации подпрограммы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Показатели экономической эффективности: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 оборот продукции (услуг), производимой малыми предприятиями, в т. ч. микропредприятиями и индивидуальными предпринимателями, тыс. руб.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процентах к предыдущему году.</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Показатели социальной эффективности: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создание новых рабочих мест, в том числе для молодежи и социально незащищенных слоев населения;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Новомакаровском сельском поселении;</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насыщение потребительского рынка товарами и услугами, удовлетворение потребительского спроса населения.</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Приложение к муниципальной программе </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«Развитие и поддержка малого и среднего предпринимательства в </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lastRenderedPageBreak/>
        <w:t xml:space="preserve">Новомакаровском сельском поселении Грибановского </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муниципального района» на 2015-2020гг.</w:t>
      </w:r>
    </w:p>
    <w:p w:rsidR="008D70FF" w:rsidRPr="008D70FF" w:rsidRDefault="008D70FF" w:rsidP="008D70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План реализации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2015-2020гг.» на 2015 год</w:t>
      </w:r>
    </w:p>
    <w:tbl>
      <w:tblPr>
        <w:tblW w:w="15510" w:type="dxa"/>
        <w:tblCellSpacing w:w="0" w:type="dxa"/>
        <w:tblCellMar>
          <w:left w:w="0" w:type="dxa"/>
          <w:right w:w="0" w:type="dxa"/>
        </w:tblCellMar>
        <w:tblLook w:val="04A0" w:firstRow="1" w:lastRow="0" w:firstColumn="1" w:lastColumn="0" w:noHBand="0" w:noVBand="1"/>
      </w:tblPr>
      <w:tblGrid>
        <w:gridCol w:w="324"/>
        <w:gridCol w:w="2037"/>
        <w:gridCol w:w="4383"/>
        <w:gridCol w:w="1924"/>
        <w:gridCol w:w="1330"/>
        <w:gridCol w:w="1330"/>
        <w:gridCol w:w="2242"/>
        <w:gridCol w:w="968"/>
        <w:gridCol w:w="1945"/>
      </w:tblGrid>
      <w:tr w:rsidR="008D70FF" w:rsidRPr="008D70FF" w:rsidTr="008D70FF">
        <w:trPr>
          <w:trHeight w:val="327"/>
          <w:tblCellSpacing w:w="0" w:type="dxa"/>
        </w:trPr>
        <w:tc>
          <w:tcPr>
            <w:tcW w:w="1107"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п/п</w:t>
            </w:r>
          </w:p>
        </w:tc>
        <w:tc>
          <w:tcPr>
            <w:tcW w:w="1235"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Статус</w:t>
            </w:r>
          </w:p>
        </w:tc>
        <w:tc>
          <w:tcPr>
            <w:tcW w:w="1825"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2700"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
        </w:tc>
        <w:tc>
          <w:tcPr>
            <w:tcW w:w="2880" w:type="dxa"/>
            <w:gridSpan w:val="2"/>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Срок</w:t>
            </w:r>
          </w:p>
        </w:tc>
        <w:tc>
          <w:tcPr>
            <w:tcW w:w="2520"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620"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КБК </w:t>
            </w:r>
            <w:r w:rsidRPr="008D70FF">
              <w:rPr>
                <w:rFonts w:ascii="Times New Roman" w:eastAsia="Times New Roman" w:hAnsi="Times New Roman" w:cs="Times New Roman"/>
                <w:sz w:val="24"/>
                <w:szCs w:val="24"/>
                <w:lang w:eastAsia="ru-RU"/>
              </w:rPr>
              <w:br/>
              <w:t>(местный</w:t>
            </w:r>
            <w:r w:rsidRPr="008D70FF">
              <w:rPr>
                <w:rFonts w:ascii="Times New Roman" w:eastAsia="Times New Roman" w:hAnsi="Times New Roman" w:cs="Times New Roman"/>
                <w:sz w:val="24"/>
                <w:szCs w:val="24"/>
                <w:lang w:eastAsia="ru-RU"/>
              </w:rPr>
              <w:br/>
              <w:t>бюджет)</w:t>
            </w:r>
          </w:p>
        </w:tc>
        <w:tc>
          <w:tcPr>
            <w:tcW w:w="1620" w:type="dxa"/>
            <w:vMerge w:val="restart"/>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2015 год</w:t>
            </w:r>
          </w:p>
        </w:tc>
      </w:tr>
      <w:tr w:rsidR="008D70FF" w:rsidRPr="008D70FF" w:rsidTr="008D70FF">
        <w:trPr>
          <w:trHeight w:val="315"/>
          <w:tblCellSpacing w:w="0" w:type="dxa"/>
        </w:trPr>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1440" w:type="dxa"/>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1440" w:type="dxa"/>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r>
      <w:tr w:rsidR="008D70FF" w:rsidRPr="008D70FF" w:rsidTr="008D70FF">
        <w:trPr>
          <w:trHeight w:val="2500"/>
          <w:tblCellSpacing w:w="0" w:type="dxa"/>
        </w:trPr>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144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начала реализации</w:t>
            </w:r>
            <w:r w:rsidRPr="008D70FF">
              <w:rPr>
                <w:rFonts w:ascii="Times New Roman" w:eastAsia="Times New Roman" w:hAnsi="Times New Roman" w:cs="Times New Roman"/>
                <w:sz w:val="24"/>
                <w:szCs w:val="24"/>
                <w:lang w:eastAsia="ru-RU"/>
              </w:rPr>
              <w:br/>
              <w:t xml:space="preserve">мероприятия в очередном финансовом году </w:t>
            </w:r>
          </w:p>
        </w:tc>
        <w:tc>
          <w:tcPr>
            <w:tcW w:w="144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окончания реализации</w:t>
            </w:r>
            <w:r w:rsidRPr="008D70FF">
              <w:rPr>
                <w:rFonts w:ascii="Times New Roman" w:eastAsia="Times New Roman" w:hAnsi="Times New Roman" w:cs="Times New Roman"/>
                <w:sz w:val="24"/>
                <w:szCs w:val="24"/>
                <w:lang w:eastAsia="ru-RU"/>
              </w:rPr>
              <w:br/>
              <w:t>мероприятия</w:t>
            </w:r>
            <w:r w:rsidRPr="008D70FF">
              <w:rPr>
                <w:rFonts w:ascii="Times New Roman" w:eastAsia="Times New Roman" w:hAnsi="Times New Roman" w:cs="Times New Roman"/>
                <w:sz w:val="24"/>
                <w:szCs w:val="24"/>
                <w:lang w:eastAsia="ru-RU"/>
              </w:rPr>
              <w:br/>
              <w:t xml:space="preserve">в очередном финансовом году  </w:t>
            </w: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r>
      <w:tr w:rsidR="008D70FF" w:rsidRPr="008D70FF" w:rsidTr="008D70FF">
        <w:trPr>
          <w:trHeight w:val="315"/>
          <w:tblCellSpacing w:w="0" w:type="dxa"/>
        </w:trPr>
        <w:tc>
          <w:tcPr>
            <w:tcW w:w="1107"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w:t>
            </w:r>
          </w:p>
        </w:tc>
        <w:tc>
          <w:tcPr>
            <w:tcW w:w="1235"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w:t>
            </w:r>
          </w:p>
        </w:tc>
        <w:tc>
          <w:tcPr>
            <w:tcW w:w="1825"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w:t>
            </w:r>
          </w:p>
        </w:tc>
        <w:tc>
          <w:tcPr>
            <w:tcW w:w="270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4</w:t>
            </w:r>
          </w:p>
        </w:tc>
        <w:tc>
          <w:tcPr>
            <w:tcW w:w="144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5</w:t>
            </w:r>
          </w:p>
        </w:tc>
        <w:tc>
          <w:tcPr>
            <w:tcW w:w="144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6</w:t>
            </w:r>
          </w:p>
        </w:tc>
        <w:tc>
          <w:tcPr>
            <w:tcW w:w="252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7</w:t>
            </w:r>
          </w:p>
        </w:tc>
        <w:tc>
          <w:tcPr>
            <w:tcW w:w="162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8</w:t>
            </w:r>
          </w:p>
        </w:tc>
        <w:tc>
          <w:tcPr>
            <w:tcW w:w="162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9</w:t>
            </w:r>
          </w:p>
        </w:tc>
      </w:tr>
      <w:tr w:rsidR="008D70FF" w:rsidRPr="008D70FF" w:rsidTr="008D70FF">
        <w:trPr>
          <w:trHeight w:val="1645"/>
          <w:tblCellSpacing w:w="0" w:type="dxa"/>
        </w:trPr>
        <w:tc>
          <w:tcPr>
            <w:tcW w:w="1107"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w:t>
            </w:r>
          </w:p>
        </w:tc>
        <w:tc>
          <w:tcPr>
            <w:tcW w:w="1235"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ПОДПРОГРАММА 1</w:t>
            </w:r>
          </w:p>
        </w:tc>
        <w:tc>
          <w:tcPr>
            <w:tcW w:w="1825"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«Развитие и поддержка малого и среднего предпринимательства»</w:t>
            </w:r>
          </w:p>
        </w:tc>
        <w:tc>
          <w:tcPr>
            <w:tcW w:w="2700"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Администрация Новомакаровского сельского поселения Грибановского муниципального района Воронежской области</w:t>
            </w:r>
          </w:p>
        </w:tc>
        <w:tc>
          <w:tcPr>
            <w:tcW w:w="1440"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01.01.2015г.</w:t>
            </w:r>
          </w:p>
        </w:tc>
        <w:tc>
          <w:tcPr>
            <w:tcW w:w="1440"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31.12.2015г.</w:t>
            </w:r>
          </w:p>
        </w:tc>
        <w:tc>
          <w:tcPr>
            <w:tcW w:w="2520" w:type="dxa"/>
            <w:vMerge w:val="restart"/>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tc>
        <w:tc>
          <w:tcPr>
            <w:tcW w:w="1620"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914 0412 151 9038 540 251</w:t>
            </w:r>
          </w:p>
        </w:tc>
        <w:tc>
          <w:tcPr>
            <w:tcW w:w="162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r>
      <w:tr w:rsidR="008D70FF" w:rsidRPr="008D70FF" w:rsidTr="008D70FF">
        <w:trPr>
          <w:trHeight w:val="1785"/>
          <w:tblCellSpacing w:w="0" w:type="dxa"/>
        </w:trPr>
        <w:tc>
          <w:tcPr>
            <w:tcW w:w="1107"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1.1</w:t>
            </w:r>
          </w:p>
        </w:tc>
        <w:tc>
          <w:tcPr>
            <w:tcW w:w="1235"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xml:space="preserve">Основное </w:t>
            </w:r>
            <w:r w:rsidRPr="008D70FF">
              <w:rPr>
                <w:rFonts w:ascii="Times New Roman" w:eastAsia="Times New Roman" w:hAnsi="Times New Roman" w:cs="Times New Roman"/>
                <w:sz w:val="24"/>
                <w:szCs w:val="24"/>
                <w:lang w:eastAsia="ru-RU"/>
              </w:rPr>
              <w:br/>
              <w:t>мероприятие 1.1</w:t>
            </w:r>
          </w:p>
        </w:tc>
        <w:tc>
          <w:tcPr>
            <w:tcW w:w="1825"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Финансовое обеспечение мероприятий согласно Соглашению по передаче полномочий</w:t>
            </w:r>
          </w:p>
        </w:tc>
        <w:tc>
          <w:tcPr>
            <w:tcW w:w="2700"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Администрация Новомакаровского сельского поселения Грибановского муниципального района Воронежской области</w:t>
            </w:r>
          </w:p>
        </w:tc>
        <w:tc>
          <w:tcPr>
            <w:tcW w:w="1440"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01.01.2015г.</w:t>
            </w:r>
          </w:p>
        </w:tc>
        <w:tc>
          <w:tcPr>
            <w:tcW w:w="1440"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31.12.2015г.</w:t>
            </w:r>
          </w:p>
        </w:tc>
        <w:tc>
          <w:tcPr>
            <w:tcW w:w="0" w:type="auto"/>
            <w:vMerge/>
            <w:vAlign w:val="center"/>
            <w:hideMark/>
          </w:tcPr>
          <w:p w:rsidR="008D70FF" w:rsidRPr="008D70FF" w:rsidRDefault="008D70FF" w:rsidP="008D70FF">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914 0412 151 9038 540 251</w:t>
            </w:r>
          </w:p>
        </w:tc>
        <w:tc>
          <w:tcPr>
            <w:tcW w:w="1620" w:type="dxa"/>
            <w:vAlign w:val="center"/>
            <w:hideMark/>
          </w:tcPr>
          <w:p w:rsidR="008D70FF" w:rsidRPr="008D70FF" w:rsidRDefault="008D70FF" w:rsidP="008D70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2,50</w:t>
            </w:r>
          </w:p>
        </w:tc>
      </w:tr>
    </w:tbl>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8D70FF" w:rsidRPr="008D70FF" w:rsidRDefault="008D70FF" w:rsidP="008D70FF">
      <w:pPr>
        <w:spacing w:before="100" w:beforeAutospacing="1" w:after="100" w:afterAutospacing="1" w:line="240" w:lineRule="auto"/>
        <w:rPr>
          <w:rFonts w:ascii="Times New Roman" w:eastAsia="Times New Roman" w:hAnsi="Times New Roman" w:cs="Times New Roman"/>
          <w:sz w:val="24"/>
          <w:szCs w:val="24"/>
          <w:lang w:eastAsia="ru-RU"/>
        </w:rPr>
      </w:pPr>
      <w:r w:rsidRPr="008D70FF">
        <w:rPr>
          <w:rFonts w:ascii="Times New Roman" w:eastAsia="Times New Roman" w:hAnsi="Times New Roman" w:cs="Times New Roman"/>
          <w:sz w:val="24"/>
          <w:szCs w:val="24"/>
          <w:lang w:eastAsia="ru-RU"/>
        </w:rPr>
        <w:t>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BE6"/>
    <w:multiLevelType w:val="multilevel"/>
    <w:tmpl w:val="0866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ED"/>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462ED"/>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0FF"/>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70FF"/>
    <w:rPr>
      <w:color w:val="0000FF"/>
      <w:u w:val="single"/>
    </w:rPr>
  </w:style>
  <w:style w:type="character" w:styleId="a5">
    <w:name w:val="FollowedHyperlink"/>
    <w:basedOn w:val="a0"/>
    <w:uiPriority w:val="99"/>
    <w:semiHidden/>
    <w:unhideWhenUsed/>
    <w:rsid w:val="008D70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70FF"/>
    <w:rPr>
      <w:color w:val="0000FF"/>
      <w:u w:val="single"/>
    </w:rPr>
  </w:style>
  <w:style w:type="character" w:styleId="a5">
    <w:name w:val="FollowedHyperlink"/>
    <w:basedOn w:val="a0"/>
    <w:uiPriority w:val="99"/>
    <w:semiHidden/>
    <w:unhideWhenUsed/>
    <w:rsid w:val="008D70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0303">
      <w:bodyDiv w:val="1"/>
      <w:marLeft w:val="0"/>
      <w:marRight w:val="0"/>
      <w:marTop w:val="0"/>
      <w:marBottom w:val="0"/>
      <w:divBdr>
        <w:top w:val="none" w:sz="0" w:space="0" w:color="auto"/>
        <w:left w:val="none" w:sz="0" w:space="0" w:color="auto"/>
        <w:bottom w:val="none" w:sz="0" w:space="0" w:color="auto"/>
        <w:right w:val="none" w:sz="0" w:space="0" w:color="auto"/>
      </w:divBdr>
      <w:divsChild>
        <w:div w:id="73689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novomakar.ru\novomakar.ru\documents\order\consultantplus_3A\offline\main@base=RLAW181;n=36898;fld=134;dst=100241" TargetMode="External"/><Relationship Id="rId3" Type="http://schemas.microsoft.com/office/2007/relationships/stylesWithEffects" Target="stylesWithEffects.xml"/><Relationship Id="rId7" Type="http://schemas.openxmlformats.org/officeDocument/2006/relationships/hyperlink" Target="file:///K:\novomakar.ru\novomakar.ru\documents\order\consultantplus_3A\offline\main@base=LAW;n=10218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novomakar.ru\novomakar.ru\documents\order\consultantplus_3A\offline\main@base=LAW;n=111169;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6083</Words>
  <Characters>34675</Characters>
  <Application>Microsoft Office Word</Application>
  <DocSecurity>0</DocSecurity>
  <Lines>288</Lines>
  <Paragraphs>81</Paragraphs>
  <ScaleCrop>false</ScaleCrop>
  <Company>SPecialiST RePack</Company>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2018-05-01T09:21:00Z</dcterms:created>
  <dcterms:modified xsi:type="dcterms:W3CDTF">2018-05-01T09:22:00Z</dcterms:modified>
</cp:coreProperties>
</file>