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74" w:rsidRDefault="008B7974" w:rsidP="008B7974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8B7974" w:rsidRDefault="008B7974" w:rsidP="008B7974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8B7974" w:rsidRDefault="008B7974" w:rsidP="008B7974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8B7974" w:rsidRDefault="008B7974" w:rsidP="008B7974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8B7974" w:rsidRDefault="008B7974" w:rsidP="008B7974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8B7974" w:rsidRDefault="008B7974" w:rsidP="008B7974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8B7974" w:rsidRDefault="008B7974" w:rsidP="008B7974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8B7974" w:rsidRDefault="008B7974" w:rsidP="008B7974">
      <w:pPr>
        <w:pStyle w:val="a3"/>
      </w:pPr>
      <w:r>
        <w:t xml:space="preserve">от 05.05.2015 г. № 16 </w:t>
      </w:r>
    </w:p>
    <w:p w:rsidR="008B7974" w:rsidRDefault="008B7974" w:rsidP="008B7974">
      <w:pPr>
        <w:pStyle w:val="a3"/>
      </w:pPr>
      <w:r>
        <w:t xml:space="preserve">с. Новомакарово </w:t>
      </w:r>
    </w:p>
    <w:p w:rsidR="008B7974" w:rsidRDefault="008B7974" w:rsidP="008B7974">
      <w:pPr>
        <w:pStyle w:val="a3"/>
      </w:pPr>
    </w:p>
    <w:p w:rsidR="008B7974" w:rsidRDefault="008B7974" w:rsidP="008B7974">
      <w:pPr>
        <w:pStyle w:val="a3"/>
      </w:pPr>
      <w:r>
        <w:t xml:space="preserve">Об утверждении отчета об исполнении бюджета </w:t>
      </w:r>
      <w:proofErr w:type="spellStart"/>
      <w:r>
        <w:t>Новомакаровского</w:t>
      </w:r>
      <w:proofErr w:type="spellEnd"/>
      <w:r>
        <w:t xml:space="preserve">    сельского    поселения Грибановского    муниципального    района Воронежской     области     за     4 квартал  2014    года </w:t>
      </w:r>
    </w:p>
    <w:p w:rsidR="008B7974" w:rsidRDefault="008B7974" w:rsidP="008B7974">
      <w:pPr>
        <w:pStyle w:val="a3"/>
      </w:pPr>
      <w:r>
        <w:t xml:space="preserve">    </w:t>
      </w:r>
    </w:p>
    <w:p w:rsidR="008B7974" w:rsidRDefault="008B7974" w:rsidP="008B7974">
      <w:pPr>
        <w:pStyle w:val="a3"/>
      </w:pPr>
      <w:r>
        <w:t xml:space="preserve">       Заслушав отчет об исполнении бюджета </w:t>
      </w:r>
      <w:proofErr w:type="spellStart"/>
      <w:r>
        <w:t>Новомакаровского</w:t>
      </w:r>
      <w:proofErr w:type="spellEnd"/>
      <w:r>
        <w:t xml:space="preserve"> сельского поселения за 4 квартал 2014 года,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8B7974" w:rsidRDefault="008B7974" w:rsidP="008B7974">
      <w:pPr>
        <w:pStyle w:val="a3"/>
      </w:pPr>
      <w:r>
        <w:t xml:space="preserve">  </w:t>
      </w:r>
    </w:p>
    <w:p w:rsidR="008B7974" w:rsidRDefault="008B7974" w:rsidP="008B7974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8B7974" w:rsidRDefault="008B7974" w:rsidP="008B7974">
      <w:pPr>
        <w:pStyle w:val="a3"/>
        <w:jc w:val="center"/>
      </w:pPr>
      <w:r>
        <w:t xml:space="preserve">  </w:t>
      </w:r>
    </w:p>
    <w:p w:rsidR="008B7974" w:rsidRDefault="008B7974" w:rsidP="008B7974">
      <w:pPr>
        <w:pStyle w:val="a3"/>
      </w:pPr>
      <w:r>
        <w:t xml:space="preserve">        Утвердить отчет об исполнении бюджета </w:t>
      </w:r>
      <w:proofErr w:type="spellStart"/>
      <w:r>
        <w:t>Новомакаровского</w:t>
      </w:r>
      <w:proofErr w:type="spellEnd"/>
      <w:r>
        <w:t xml:space="preserve"> сельского поселения за 4 квартал  2014 года  согласно приложению. </w:t>
      </w:r>
    </w:p>
    <w:p w:rsidR="008B7974" w:rsidRDefault="008B7974" w:rsidP="008B7974">
      <w:pPr>
        <w:pStyle w:val="a3"/>
      </w:pPr>
      <w:r>
        <w:t xml:space="preserve">  </w:t>
      </w:r>
    </w:p>
    <w:p w:rsidR="008B7974" w:rsidRDefault="008B7974" w:rsidP="008B7974">
      <w:pPr>
        <w:pStyle w:val="a3"/>
      </w:pPr>
      <w:r>
        <w:t xml:space="preserve">   </w:t>
      </w:r>
    </w:p>
    <w:p w:rsidR="008B7974" w:rsidRDefault="008B7974" w:rsidP="008B7974">
      <w:pPr>
        <w:pStyle w:val="a3"/>
      </w:pPr>
      <w:r>
        <w:t>Глава сельского поселения                                                                  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8B7974" w:rsidRDefault="008B7974" w:rsidP="008B7974">
      <w:pPr>
        <w:pStyle w:val="a3"/>
      </w:pPr>
      <w:r>
        <w:t xml:space="preserve">  </w:t>
      </w:r>
    </w:p>
    <w:p w:rsidR="008B7974" w:rsidRDefault="008B7974" w:rsidP="008B7974">
      <w:pPr>
        <w:pStyle w:val="a3"/>
      </w:pPr>
      <w:r>
        <w:t xml:space="preserve">    </w:t>
      </w:r>
    </w:p>
    <w:p w:rsidR="008B7974" w:rsidRDefault="008B7974" w:rsidP="008B7974">
      <w:pPr>
        <w:pStyle w:val="a3"/>
        <w:jc w:val="right"/>
      </w:pPr>
      <w:r>
        <w:t xml:space="preserve">Приложение 1 </w:t>
      </w:r>
    </w:p>
    <w:p w:rsidR="008B7974" w:rsidRDefault="008B7974" w:rsidP="008B7974">
      <w:pPr>
        <w:pStyle w:val="a3"/>
        <w:jc w:val="right"/>
      </w:pPr>
      <w:r>
        <w:t xml:space="preserve">к постановлению администрации </w:t>
      </w:r>
    </w:p>
    <w:p w:rsidR="008B7974" w:rsidRDefault="008B7974" w:rsidP="008B7974">
      <w:pPr>
        <w:pStyle w:val="a3"/>
        <w:jc w:val="right"/>
      </w:pPr>
      <w:proofErr w:type="spellStart"/>
      <w:r>
        <w:lastRenderedPageBreak/>
        <w:t>Новомакаровского</w:t>
      </w:r>
      <w:proofErr w:type="spellEnd"/>
      <w:r>
        <w:t xml:space="preserve"> сельского поселения </w:t>
      </w:r>
    </w:p>
    <w:p w:rsidR="008B7974" w:rsidRDefault="008B7974" w:rsidP="008B7974">
      <w:pPr>
        <w:pStyle w:val="a3"/>
        <w:jc w:val="right"/>
      </w:pPr>
      <w:r>
        <w:t xml:space="preserve">от 05.05.2015 г. № 16 </w:t>
      </w:r>
    </w:p>
    <w:p w:rsidR="008B7974" w:rsidRDefault="008B7974" w:rsidP="008B7974">
      <w:pPr>
        <w:pStyle w:val="a3"/>
        <w:jc w:val="center"/>
      </w:pPr>
      <w:r>
        <w:t xml:space="preserve">Отчет об исполнении бюджета сельского поселения </w:t>
      </w:r>
    </w:p>
    <w:p w:rsidR="008B7974" w:rsidRDefault="008B7974" w:rsidP="008B7974">
      <w:pPr>
        <w:pStyle w:val="a3"/>
        <w:jc w:val="center"/>
      </w:pPr>
      <w:r>
        <w:t xml:space="preserve">за 4 квартал 2014 года </w:t>
      </w:r>
    </w:p>
    <w:p w:rsidR="008B7974" w:rsidRDefault="008B7974" w:rsidP="008B7974">
      <w:pPr>
        <w:pStyle w:val="a3"/>
      </w:pPr>
      <w:r>
        <w:t xml:space="preserve">Бюджет поселения состоит из доходной и расходной части. </w:t>
      </w:r>
    </w:p>
    <w:p w:rsidR="008B7974" w:rsidRDefault="008B7974" w:rsidP="008B7974">
      <w:pPr>
        <w:pStyle w:val="a3"/>
      </w:pPr>
      <w:r>
        <w:t xml:space="preserve">Доходная часть бюджета в 4 квартале 2014 года выполнена на 100 %: </w:t>
      </w:r>
    </w:p>
    <w:p w:rsidR="008B7974" w:rsidRDefault="008B7974" w:rsidP="008B7974">
      <w:pPr>
        <w:pStyle w:val="a3"/>
      </w:pPr>
      <w:r>
        <w:t xml:space="preserve">назначено – 2672,9 т. р. </w:t>
      </w:r>
    </w:p>
    <w:p w:rsidR="008B7974" w:rsidRDefault="008B7974" w:rsidP="008B7974">
      <w:pPr>
        <w:pStyle w:val="a3"/>
      </w:pPr>
      <w:r>
        <w:t xml:space="preserve">исполнено – 2672,9  т. р. </w:t>
      </w:r>
    </w:p>
    <w:p w:rsidR="008B7974" w:rsidRDefault="008B7974" w:rsidP="008B7974">
      <w:pPr>
        <w:pStyle w:val="a3"/>
      </w:pPr>
      <w:r>
        <w:t xml:space="preserve">По собственным доходам выполнено на 100 %: </w:t>
      </w:r>
    </w:p>
    <w:p w:rsidR="008B7974" w:rsidRDefault="008B7974" w:rsidP="008B7974">
      <w:pPr>
        <w:pStyle w:val="a3"/>
      </w:pPr>
      <w:r>
        <w:t xml:space="preserve">назначено – 1516,1 т. р. </w:t>
      </w:r>
    </w:p>
    <w:p w:rsidR="008B7974" w:rsidRDefault="008B7974" w:rsidP="008B7974">
      <w:pPr>
        <w:pStyle w:val="a3"/>
      </w:pPr>
      <w:r>
        <w:t xml:space="preserve">исполнено – 1516,1 в т. ч. </w:t>
      </w:r>
    </w:p>
    <w:p w:rsidR="008B7974" w:rsidRDefault="008B7974" w:rsidP="008B7974">
      <w:pPr>
        <w:pStyle w:val="a3"/>
      </w:pPr>
      <w:r>
        <w:t xml:space="preserve">по налогу на доходы физических лиц выполнено на 100 %: </w:t>
      </w:r>
    </w:p>
    <w:p w:rsidR="008B7974" w:rsidRDefault="008B7974" w:rsidP="008B7974">
      <w:pPr>
        <w:pStyle w:val="a3"/>
      </w:pPr>
      <w:r>
        <w:t xml:space="preserve">назначено – 521,9 т. р. </w:t>
      </w:r>
    </w:p>
    <w:p w:rsidR="008B7974" w:rsidRDefault="008B7974" w:rsidP="008B7974">
      <w:pPr>
        <w:pStyle w:val="a3"/>
      </w:pPr>
      <w:r>
        <w:t xml:space="preserve">исполнено – 521,9 т. р. </w:t>
      </w:r>
    </w:p>
    <w:p w:rsidR="008B7974" w:rsidRDefault="008B7974" w:rsidP="008B7974">
      <w:pPr>
        <w:pStyle w:val="a3"/>
      </w:pPr>
      <w:r>
        <w:t xml:space="preserve">По налогу на имущество выполнено на 100 %: </w:t>
      </w:r>
    </w:p>
    <w:p w:rsidR="008B7974" w:rsidRDefault="008B7974" w:rsidP="008B7974">
      <w:pPr>
        <w:pStyle w:val="a3"/>
      </w:pPr>
      <w:r>
        <w:t xml:space="preserve">назначено – 14,0 т. р. </w:t>
      </w:r>
    </w:p>
    <w:p w:rsidR="008B7974" w:rsidRDefault="008B7974" w:rsidP="008B7974">
      <w:pPr>
        <w:pStyle w:val="a3"/>
      </w:pPr>
      <w:r>
        <w:t xml:space="preserve">исполнено – 14,0 т. р. </w:t>
      </w:r>
    </w:p>
    <w:p w:rsidR="008B7974" w:rsidRDefault="008B7974" w:rsidP="008B7974">
      <w:pPr>
        <w:pStyle w:val="a3"/>
      </w:pPr>
      <w:r>
        <w:t xml:space="preserve">По земельному налогу выполнено на 100 %: </w:t>
      </w:r>
    </w:p>
    <w:p w:rsidR="008B7974" w:rsidRDefault="008B7974" w:rsidP="008B7974">
      <w:pPr>
        <w:pStyle w:val="a3"/>
      </w:pPr>
      <w:r>
        <w:t xml:space="preserve">назначено – 554,3 т. р. </w:t>
      </w:r>
    </w:p>
    <w:p w:rsidR="008B7974" w:rsidRDefault="008B7974" w:rsidP="008B7974">
      <w:pPr>
        <w:pStyle w:val="a3"/>
      </w:pPr>
      <w:r>
        <w:t xml:space="preserve">исполнено – 554,3 т. р. </w:t>
      </w:r>
    </w:p>
    <w:p w:rsidR="008B7974" w:rsidRDefault="008B7974" w:rsidP="008B7974">
      <w:pPr>
        <w:pStyle w:val="a3"/>
      </w:pPr>
      <w:r>
        <w:t xml:space="preserve">По госпошлине выполнено на 100%: </w:t>
      </w:r>
    </w:p>
    <w:p w:rsidR="008B7974" w:rsidRDefault="008B7974" w:rsidP="008B7974">
      <w:pPr>
        <w:pStyle w:val="a3"/>
      </w:pPr>
      <w:r>
        <w:t xml:space="preserve">назначено – 83,7 т. р. </w:t>
      </w:r>
    </w:p>
    <w:p w:rsidR="008B7974" w:rsidRDefault="008B7974" w:rsidP="008B7974">
      <w:pPr>
        <w:pStyle w:val="a3"/>
      </w:pPr>
      <w:r>
        <w:t xml:space="preserve">исполнено – 83,7 т. р. </w:t>
      </w:r>
    </w:p>
    <w:p w:rsidR="008B7974" w:rsidRDefault="008B7974" w:rsidP="008B7974">
      <w:pPr>
        <w:pStyle w:val="a3"/>
      </w:pPr>
      <w:r>
        <w:t xml:space="preserve">         По безвозмездным поступлениям доходная часть выполнена на 100 %: </w:t>
      </w:r>
    </w:p>
    <w:p w:rsidR="008B7974" w:rsidRDefault="008B7974" w:rsidP="008B7974">
      <w:pPr>
        <w:pStyle w:val="a3"/>
      </w:pPr>
      <w:r>
        <w:t xml:space="preserve">назначено – 1156,8  т. р. </w:t>
      </w:r>
    </w:p>
    <w:p w:rsidR="008B7974" w:rsidRDefault="008B7974" w:rsidP="008B7974">
      <w:pPr>
        <w:pStyle w:val="a3"/>
      </w:pPr>
      <w:r>
        <w:t xml:space="preserve">исполнено – 1156,8  т. р. </w:t>
      </w:r>
    </w:p>
    <w:p w:rsidR="008B7974" w:rsidRDefault="008B7974" w:rsidP="008B7974">
      <w:pPr>
        <w:pStyle w:val="a3"/>
      </w:pPr>
      <w:r>
        <w:lastRenderedPageBreak/>
        <w:t xml:space="preserve">в т. ч.: </w:t>
      </w:r>
    </w:p>
    <w:p w:rsidR="008B7974" w:rsidRDefault="008B7974" w:rsidP="008B7974">
      <w:pPr>
        <w:pStyle w:val="a3"/>
      </w:pPr>
      <w:r>
        <w:t xml:space="preserve">дотация на выравнивание уровня бюджетной обеспеченности: назначено – 970,8  т. р., исполнено – 970,8  т. р.; </w:t>
      </w:r>
    </w:p>
    <w:p w:rsidR="008B7974" w:rsidRDefault="008B7974" w:rsidP="008B7974">
      <w:pPr>
        <w:pStyle w:val="a3"/>
      </w:pPr>
      <w:r>
        <w:t xml:space="preserve">субсидия по первичному воинскому учету: назначено – 58,6 т. р., исполнено – 58,6  т. р.; </w:t>
      </w:r>
    </w:p>
    <w:p w:rsidR="008B7974" w:rsidRDefault="008B7974" w:rsidP="008B7974">
      <w:pPr>
        <w:pStyle w:val="a3"/>
      </w:pPr>
      <w:r>
        <w:t xml:space="preserve">межбюджетные трансферты: назначено – 118,0  т. р., исполнено – 118,0 т. р. </w:t>
      </w:r>
    </w:p>
    <w:p w:rsidR="008B7974" w:rsidRDefault="008B7974" w:rsidP="008B7974">
      <w:pPr>
        <w:pStyle w:val="a3"/>
      </w:pPr>
      <w:r>
        <w:t xml:space="preserve">            По расходам бюджет поселения выполнен на 100 %: </w:t>
      </w:r>
    </w:p>
    <w:p w:rsidR="008B7974" w:rsidRDefault="008B7974" w:rsidP="008B7974">
      <w:pPr>
        <w:pStyle w:val="a3"/>
      </w:pPr>
      <w:r>
        <w:t xml:space="preserve">назначено – 2424,5  т. р., исполнено – 2424,5 т. р. </w:t>
      </w:r>
    </w:p>
    <w:p w:rsidR="008B7974" w:rsidRDefault="008B7974" w:rsidP="008B7974">
      <w:pPr>
        <w:pStyle w:val="a3"/>
      </w:pPr>
      <w:r>
        <w:t xml:space="preserve">в т. ч. по разделам: </w:t>
      </w:r>
    </w:p>
    <w:p w:rsidR="008B7974" w:rsidRDefault="008B7974" w:rsidP="008B7974">
      <w:pPr>
        <w:pStyle w:val="a3"/>
      </w:pPr>
      <w:r>
        <w:t xml:space="preserve">общегосударственные вопросы: назначено – 1422,9 т. р., исполнено-1422,9 т. р.; </w:t>
      </w:r>
    </w:p>
    <w:p w:rsidR="008B7974" w:rsidRDefault="008B7974" w:rsidP="008B7974">
      <w:pPr>
        <w:pStyle w:val="a3"/>
      </w:pPr>
      <w:r>
        <w:t xml:space="preserve">национальная оборона: назначено – 58,6 т. р., исполнено – 58,6 т. р.; </w:t>
      </w:r>
    </w:p>
    <w:p w:rsidR="008B7974" w:rsidRDefault="008B7974" w:rsidP="008B7974">
      <w:pPr>
        <w:pStyle w:val="a3"/>
      </w:pPr>
      <w:r>
        <w:t xml:space="preserve">жилищно-коммунальное хозяйство: назначено – 99,6 т. р., исполнено-99,6 т. р.; </w:t>
      </w:r>
    </w:p>
    <w:p w:rsidR="008B7974" w:rsidRDefault="008B7974" w:rsidP="008B7974">
      <w:pPr>
        <w:pStyle w:val="a3"/>
      </w:pPr>
      <w:r>
        <w:t xml:space="preserve">культура: назначено – 599,2 т. р., исполнено – 599,2 т. р.; </w:t>
      </w:r>
    </w:p>
    <w:p w:rsidR="008B7974" w:rsidRDefault="008B7974" w:rsidP="008B7974">
      <w:pPr>
        <w:pStyle w:val="a3"/>
      </w:pPr>
      <w:r>
        <w:t xml:space="preserve">межбюджетные трансферты: назначено – 24,8 т. р., исполнено – 24,8 т. р.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A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43BA1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B7974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2018-04-27T15:59:00Z</dcterms:created>
  <dcterms:modified xsi:type="dcterms:W3CDTF">2018-04-27T16:00:00Z</dcterms:modified>
</cp:coreProperties>
</file>