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AA" w:rsidRDefault="00C30FAA" w:rsidP="00C30FAA">
      <w:pPr>
        <w:jc w:val="center"/>
        <w:rPr>
          <w:rFonts w:ascii="Times New Roman" w:hAnsi="Times New Roman"/>
          <w:b/>
          <w:sz w:val="28"/>
          <w:szCs w:val="28"/>
        </w:rPr>
      </w:pPr>
      <w:r>
        <w:rPr>
          <w:rFonts w:ascii="Times New Roman" w:hAnsi="Times New Roman"/>
          <w:b/>
          <w:sz w:val="28"/>
          <w:szCs w:val="28"/>
        </w:rPr>
        <w:t xml:space="preserve">АДМИНИСТРАЦИЯ </w:t>
      </w:r>
    </w:p>
    <w:p w:rsidR="00C30FAA" w:rsidRDefault="00C30FAA" w:rsidP="00C30FAA">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C30FAA" w:rsidRDefault="00C30FAA" w:rsidP="00C30FAA">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C30FAA" w:rsidRDefault="00C30FAA" w:rsidP="00C30FAA">
      <w:pPr>
        <w:jc w:val="center"/>
        <w:rPr>
          <w:rFonts w:ascii="Times New Roman" w:hAnsi="Times New Roman"/>
          <w:sz w:val="28"/>
          <w:szCs w:val="28"/>
        </w:rPr>
      </w:pPr>
    </w:p>
    <w:p w:rsidR="00C30FAA" w:rsidRDefault="00C30FAA" w:rsidP="00C30FAA">
      <w:pPr>
        <w:jc w:val="center"/>
        <w:rPr>
          <w:rFonts w:ascii="Times New Roman" w:hAnsi="Times New Roman"/>
          <w:b/>
          <w:sz w:val="28"/>
          <w:szCs w:val="28"/>
        </w:rPr>
      </w:pPr>
      <w:r>
        <w:rPr>
          <w:rFonts w:ascii="Times New Roman" w:hAnsi="Times New Roman"/>
          <w:b/>
          <w:sz w:val="28"/>
          <w:szCs w:val="28"/>
        </w:rPr>
        <w:t>П О С Т А Н О В Л Е Н И Е</w:t>
      </w:r>
    </w:p>
    <w:p w:rsidR="00C30FAA" w:rsidRDefault="00C30FAA" w:rsidP="00C30FAA">
      <w:pPr>
        <w:rPr>
          <w:rFonts w:ascii="Times New Roman" w:hAnsi="Times New Roman"/>
          <w:sz w:val="28"/>
          <w:szCs w:val="28"/>
        </w:rPr>
      </w:pPr>
    </w:p>
    <w:p w:rsidR="00FA765C" w:rsidRDefault="00FA765C" w:rsidP="00FA765C">
      <w:pPr>
        <w:ind w:firstLine="0"/>
        <w:rPr>
          <w:rFonts w:ascii="Times New Roman" w:hAnsi="Times New Roman"/>
          <w:sz w:val="28"/>
          <w:szCs w:val="28"/>
        </w:rPr>
      </w:pPr>
      <w:r>
        <w:rPr>
          <w:rFonts w:ascii="Times New Roman" w:hAnsi="Times New Roman"/>
          <w:sz w:val="28"/>
          <w:szCs w:val="28"/>
        </w:rPr>
        <w:t xml:space="preserve">от  02.11.2023 г. № </w:t>
      </w:r>
      <w:r>
        <w:rPr>
          <w:rFonts w:ascii="Times New Roman" w:hAnsi="Times New Roman"/>
          <w:sz w:val="28"/>
          <w:szCs w:val="28"/>
        </w:rPr>
        <w:t>57</w:t>
      </w:r>
    </w:p>
    <w:p w:rsidR="00C30FAA" w:rsidRDefault="00FA765C" w:rsidP="00FA765C">
      <w:pPr>
        <w:ind w:firstLine="0"/>
        <w:rPr>
          <w:rFonts w:ascii="Times New Roman" w:hAnsi="Times New Roman"/>
          <w:sz w:val="28"/>
          <w:szCs w:val="28"/>
        </w:rPr>
      </w:pPr>
      <w:r>
        <w:rPr>
          <w:rFonts w:ascii="Times New Roman" w:hAnsi="Times New Roman"/>
          <w:sz w:val="28"/>
          <w:szCs w:val="28"/>
        </w:rPr>
        <w:t>с. Новомакарово</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F7504A" w:rsidRPr="00B362CF" w:rsidRDefault="00F7504A" w:rsidP="00B362CF">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08690C">
        <w:rPr>
          <w:rFonts w:ascii="Times New Roman" w:hAnsi="Times New Roman"/>
          <w:sz w:val="28"/>
          <w:szCs w:val="28"/>
        </w:rPr>
        <w:t>Новомакаровского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B74443">
        <w:rPr>
          <w:rFonts w:ascii="Times New Roman" w:hAnsi="Times New Roman"/>
          <w:sz w:val="28"/>
          <w:szCs w:val="28"/>
        </w:rPr>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8690C">
        <w:rPr>
          <w:rFonts w:ascii="Times New Roman" w:hAnsi="Times New Roman"/>
          <w:sz w:val="28"/>
          <w:szCs w:val="28"/>
        </w:rPr>
        <w:t>Новомакаровского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08690C">
        <w:t>Новомакаровского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2.</w:t>
      </w:r>
      <w:r w:rsidR="00FA765C">
        <w:rPr>
          <w:rFonts w:ascii="Times New Roman" w:hAnsi="Times New Roman"/>
          <w:sz w:val="28"/>
          <w:szCs w:val="28"/>
        </w:rPr>
        <w:t xml:space="preserve"> </w:t>
      </w:r>
      <w:r w:rsidRPr="00B74443">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08690C">
        <w:rPr>
          <w:rFonts w:ascii="Times New Roman" w:hAnsi="Times New Roman"/>
          <w:sz w:val="28"/>
          <w:szCs w:val="28"/>
        </w:rPr>
        <w:t>Новомакаровского</w:t>
      </w:r>
      <w:r w:rsidRPr="00B74443">
        <w:rPr>
          <w:rFonts w:ascii="Times New Roman" w:hAnsi="Times New Roman"/>
          <w:sz w:val="28"/>
          <w:szCs w:val="28"/>
        </w:rPr>
        <w:t xml:space="preserve"> сельского поселения и размещения на официальном сайте </w:t>
      </w:r>
      <w:r w:rsidR="0008690C">
        <w:rPr>
          <w:rFonts w:ascii="Times New Roman" w:hAnsi="Times New Roman"/>
          <w:sz w:val="28"/>
          <w:szCs w:val="28"/>
        </w:rPr>
        <w:t>Новомакаровского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p w:rsidR="000764F6" w:rsidRPr="00B74443" w:rsidRDefault="00B362CF" w:rsidP="00B362CF">
      <w:pPr>
        <w:ind w:firstLine="0"/>
        <w:rPr>
          <w:rFonts w:ascii="Times New Roman" w:hAnsi="Times New Roman"/>
          <w:sz w:val="28"/>
          <w:szCs w:val="28"/>
        </w:rPr>
      </w:pPr>
      <w:r>
        <w:rPr>
          <w:rFonts w:ascii="Times New Roman" w:hAnsi="Times New Roman"/>
          <w:sz w:val="28"/>
          <w:szCs w:val="28"/>
        </w:rPr>
        <w:t>Глава сельского поселения                                                                       С.А.Шатов</w:t>
      </w:r>
      <w:r w:rsidR="000764F6" w:rsidRPr="00B74443">
        <w:rPr>
          <w:rFonts w:ascii="Times New Roman" w:hAnsi="Times New Roman"/>
          <w:sz w:val="28"/>
          <w:szCs w:val="28"/>
        </w:rPr>
        <w:br w:type="page"/>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08690C" w:rsidP="00B74443">
      <w:pPr>
        <w:widowControl w:val="0"/>
        <w:ind w:firstLine="709"/>
        <w:jc w:val="right"/>
        <w:rPr>
          <w:rFonts w:ascii="Times New Roman" w:hAnsi="Times New Roman"/>
          <w:bCs/>
          <w:kern w:val="28"/>
          <w:sz w:val="28"/>
          <w:szCs w:val="28"/>
          <w:lang w:bidi="ru-RU"/>
        </w:rPr>
      </w:pPr>
      <w:r>
        <w:rPr>
          <w:rFonts w:ascii="Times New Roman" w:hAnsi="Times New Roman"/>
          <w:sz w:val="28"/>
          <w:szCs w:val="28"/>
        </w:rPr>
        <w:t xml:space="preserve">Новомакаровского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w:t>
      </w:r>
      <w:r w:rsidR="00FA765C">
        <w:rPr>
          <w:rFonts w:ascii="Times New Roman" w:eastAsia="Arial Unicode MS" w:hAnsi="Times New Roman"/>
          <w:sz w:val="28"/>
          <w:szCs w:val="28"/>
          <w:lang w:bidi="ru-RU"/>
        </w:rPr>
        <w:t>02</w:t>
      </w:r>
      <w:r w:rsidRPr="00B74443">
        <w:rPr>
          <w:rFonts w:ascii="Times New Roman" w:eastAsia="Arial Unicode MS" w:hAnsi="Times New Roman"/>
          <w:sz w:val="28"/>
          <w:szCs w:val="28"/>
          <w:lang w:bidi="ru-RU"/>
        </w:rPr>
        <w:t>»</w:t>
      </w:r>
      <w:r w:rsidR="00FA765C">
        <w:rPr>
          <w:rFonts w:ascii="Times New Roman" w:eastAsia="Arial Unicode MS" w:hAnsi="Times New Roman"/>
          <w:sz w:val="28"/>
          <w:szCs w:val="28"/>
          <w:lang w:bidi="ru-RU"/>
        </w:rPr>
        <w:t xml:space="preserve"> ноября </w:t>
      </w:r>
      <w:r w:rsidRPr="00B74443">
        <w:rPr>
          <w:rFonts w:ascii="Times New Roman" w:eastAsia="Arial Unicode MS" w:hAnsi="Times New Roman"/>
          <w:sz w:val="28"/>
          <w:szCs w:val="28"/>
          <w:lang w:bidi="ru-RU"/>
        </w:rPr>
        <w:t xml:space="preserve">2023 г. № </w:t>
      </w:r>
      <w:r w:rsidR="00FA765C">
        <w:rPr>
          <w:rFonts w:ascii="Times New Roman" w:eastAsia="Arial Unicode MS" w:hAnsi="Times New Roman"/>
          <w:sz w:val="28"/>
          <w:szCs w:val="28"/>
          <w:lang w:bidi="ru-RU"/>
        </w:rPr>
        <w:t>57</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08690C" w:rsidRPr="0008690C">
        <w:rPr>
          <w:i w:val="0"/>
          <w:sz w:val="28"/>
          <w:szCs w:val="28"/>
        </w:rPr>
        <w:t>Новомакаровского</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На официальном сайте Администрации (</w:t>
      </w:r>
      <w:r w:rsidR="00DC03CE">
        <w:rPr>
          <w:sz w:val="28"/>
          <w:szCs w:val="28"/>
        </w:rPr>
        <w:t>http://novomakarovo-grib.ru</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r w:rsidR="00F7504A" w:rsidRPr="00B74443">
        <w:rPr>
          <w:sz w:val="28"/>
          <w:szCs w:val="28"/>
          <w:lang w:val="en-US"/>
        </w:rPr>
        <w:t>ru</w:t>
      </w:r>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r w:rsidR="00961820" w:rsidRPr="00B74443">
        <w:rPr>
          <w:sz w:val="28"/>
          <w:szCs w:val="28"/>
          <w:lang w:val="en-US"/>
        </w:rPr>
        <w:t>govvrn</w:t>
      </w:r>
      <w:r w:rsidR="00961820" w:rsidRPr="00B74443">
        <w:rPr>
          <w:sz w:val="28"/>
          <w:szCs w:val="28"/>
        </w:rPr>
        <w:t>.</w:t>
      </w:r>
      <w:r w:rsidR="00961820" w:rsidRPr="00B74443">
        <w:rPr>
          <w:sz w:val="28"/>
          <w:szCs w:val="28"/>
          <w:lang w:val="en-US"/>
        </w:rPr>
        <w:t>ru</w:t>
      </w:r>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r w:rsidR="00961820" w:rsidRPr="00B74443">
        <w:rPr>
          <w:sz w:val="28"/>
          <w:szCs w:val="28"/>
        </w:rPr>
        <w:t xml:space="preserve"> </w:t>
      </w:r>
      <w:r w:rsidR="00F7504A" w:rsidRPr="00B74443">
        <w:rPr>
          <w:sz w:val="28"/>
          <w:szCs w:val="28"/>
        </w:rPr>
        <w:t>обязательному</w:t>
      </w:r>
      <w:proofErr w:type="gramEnd"/>
      <w:r w:rsidR="00F7504A" w:rsidRPr="00B74443">
        <w:rPr>
          <w:sz w:val="28"/>
          <w:szCs w:val="28"/>
        </w:rPr>
        <w:t xml:space="preserve">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0"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0"/>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предоставлении</w:t>
      </w:r>
      <w:proofErr w:type="gramEnd"/>
      <w:r w:rsidR="00F7504A" w:rsidRPr="00B74443">
        <w:rPr>
          <w:rFonts w:ascii="Times New Roman" w:hAnsi="Times New Roman"/>
          <w:sz w:val="28"/>
          <w:szCs w:val="28"/>
        </w:rPr>
        <w:t xml:space="preserve">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08690C">
        <w:rPr>
          <w:rFonts w:ascii="Times New Roman" w:hAnsi="Times New Roman"/>
          <w:sz w:val="28"/>
          <w:szCs w:val="28"/>
        </w:rPr>
        <w:t>Новомакаровского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08690C">
        <w:rPr>
          <w:rFonts w:ascii="Times New Roman" w:hAnsi="Times New Roman"/>
          <w:sz w:val="28"/>
          <w:szCs w:val="28"/>
        </w:rPr>
        <w:t>Новомакаровского</w:t>
      </w:r>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 xml:space="preserve">взаимодействует </w:t>
      </w:r>
      <w:proofErr w:type="gramStart"/>
      <w:r w:rsidR="00F7504A" w:rsidRPr="00B74443">
        <w:rPr>
          <w:rFonts w:ascii="Times New Roman" w:hAnsi="Times New Roman"/>
          <w:sz w:val="28"/>
          <w:szCs w:val="28"/>
        </w:rPr>
        <w:t>с</w:t>
      </w:r>
      <w:proofErr w:type="gramEnd"/>
      <w:r w:rsidR="00F7504A" w:rsidRPr="00B74443">
        <w:rPr>
          <w:rFonts w:ascii="Times New Roman" w:hAnsi="Times New Roman"/>
          <w:sz w:val="28"/>
          <w:szCs w:val="28"/>
        </w:rPr>
        <w:t>:</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r w:rsidR="00DC03CE">
        <w:rPr>
          <w:sz w:val="28"/>
          <w:szCs w:val="28"/>
        </w:rPr>
        <w:t>http://novomakarovo-grib.ru</w:t>
      </w:r>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В </w:t>
      </w:r>
      <w:proofErr w:type="gramStart"/>
      <w:r w:rsidRPr="00B74443">
        <w:rPr>
          <w:sz w:val="28"/>
          <w:szCs w:val="28"/>
        </w:rPr>
        <w:t>случае</w:t>
      </w:r>
      <w:proofErr w:type="gramEnd"/>
      <w:r w:rsidRPr="00B74443">
        <w:rPr>
          <w:sz w:val="28"/>
          <w:szCs w:val="28"/>
        </w:rPr>
        <w:t xml:space="preserve">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w:t>
      </w:r>
      <w:proofErr w:type="gramStart"/>
      <w:r w:rsidRPr="00B74443">
        <w:rPr>
          <w:sz w:val="28"/>
          <w:szCs w:val="28"/>
        </w:rPr>
        <w:t>случае</w:t>
      </w:r>
      <w:proofErr w:type="gramEnd"/>
      <w:r w:rsidRPr="00B74443">
        <w:rPr>
          <w:sz w:val="28"/>
          <w:szCs w:val="28"/>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w:t>
      </w:r>
      <w:proofErr w:type="gramStart"/>
      <w:r w:rsidRPr="00B74443">
        <w:rPr>
          <w:sz w:val="28"/>
          <w:szCs w:val="28"/>
        </w:rPr>
        <w:t>заявлении</w:t>
      </w:r>
      <w:proofErr w:type="gramEnd"/>
      <w:r w:rsidRPr="00B74443">
        <w:rPr>
          <w:sz w:val="28"/>
          <w:szCs w:val="28"/>
        </w:rPr>
        <w:t xml:space="preserve">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w:t>
      </w:r>
      <w:proofErr w:type="gramEnd"/>
      <w:r w:rsidRPr="00B7444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08690C">
        <w:rPr>
          <w:rFonts w:eastAsiaTheme="minorHAnsi"/>
          <w:i w:val="0"/>
          <w:sz w:val="28"/>
          <w:szCs w:val="28"/>
        </w:rPr>
        <w:t xml:space="preserve"> </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r w:rsidR="00991B18" w:rsidRPr="00B74443">
        <w:rPr>
          <w:rFonts w:eastAsiaTheme="minorHAnsi"/>
          <w:i w:val="0"/>
          <w:sz w:val="28"/>
          <w:szCs w:val="28"/>
        </w:rPr>
        <w:t xml:space="preserve">дизайн-проекта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08690C" w:rsidRPr="0008690C">
        <w:rPr>
          <w:i w:val="0"/>
          <w:sz w:val="28"/>
          <w:szCs w:val="28"/>
        </w:rPr>
        <w:t>Новомакаровского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08690C" w:rsidRPr="0008690C">
        <w:rPr>
          <w:i w:val="0"/>
          <w:sz w:val="28"/>
          <w:szCs w:val="28"/>
        </w:rPr>
        <w:t>Новомакаровского</w:t>
      </w:r>
      <w:r w:rsidRPr="00B74443">
        <w:rPr>
          <w:rFonts w:eastAsiaTheme="minorHAnsi"/>
          <w:i w:val="0"/>
          <w:sz w:val="28"/>
          <w:szCs w:val="28"/>
        </w:rPr>
        <w:t xml:space="preserve"> сельского поселения Грибановского муниципального района Воронежской области </w:t>
      </w:r>
      <w:r w:rsidR="0067603D" w:rsidRPr="00B74443">
        <w:rPr>
          <w:rFonts w:eastAsiaTheme="minorHAnsi"/>
          <w:i w:val="0"/>
          <w:sz w:val="28"/>
          <w:szCs w:val="28"/>
        </w:rPr>
        <w:t xml:space="preserve">№ </w:t>
      </w:r>
      <w:r w:rsidR="00B72B71">
        <w:rPr>
          <w:rFonts w:eastAsiaTheme="minorHAnsi"/>
          <w:i w:val="0"/>
          <w:sz w:val="28"/>
          <w:szCs w:val="28"/>
        </w:rPr>
        <w:t>139</w:t>
      </w:r>
      <w:r w:rsidR="00B74443" w:rsidRPr="00B74443">
        <w:rPr>
          <w:rFonts w:eastAsiaTheme="minorHAnsi"/>
          <w:i w:val="0"/>
          <w:sz w:val="28"/>
          <w:szCs w:val="28"/>
        </w:rPr>
        <w:t xml:space="preserve"> </w:t>
      </w:r>
      <w:r w:rsidR="0067603D" w:rsidRPr="00B74443">
        <w:rPr>
          <w:rFonts w:eastAsiaTheme="minorHAnsi"/>
          <w:i w:val="0"/>
          <w:sz w:val="28"/>
          <w:szCs w:val="28"/>
        </w:rPr>
        <w:t xml:space="preserve">от </w:t>
      </w:r>
      <w:r w:rsidR="00B72B71">
        <w:rPr>
          <w:rFonts w:eastAsiaTheme="minorHAnsi"/>
          <w:i w:val="0"/>
          <w:sz w:val="28"/>
          <w:szCs w:val="28"/>
        </w:rPr>
        <w:t>31.05.</w:t>
      </w:r>
      <w:r w:rsidR="001E76C0">
        <w:rPr>
          <w:rFonts w:eastAsiaTheme="minorHAnsi"/>
          <w:i w:val="0"/>
          <w:sz w:val="28"/>
          <w:szCs w:val="28"/>
        </w:rPr>
        <w:t>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w:t>
      </w:r>
      <w:proofErr w:type="gramStart"/>
      <w:r w:rsidR="00F7504A" w:rsidRPr="00B74443">
        <w:rPr>
          <w:i w:val="0"/>
          <w:sz w:val="28"/>
          <w:szCs w:val="28"/>
        </w:rPr>
        <w:t>необходимых</w:t>
      </w:r>
      <w:proofErr w:type="gramEnd"/>
      <w:r w:rsidR="00F7504A" w:rsidRPr="00B74443">
        <w:rPr>
          <w:i w:val="0"/>
          <w:sz w:val="28"/>
          <w:szCs w:val="28"/>
        </w:rPr>
        <w:t xml:space="preserve">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 xml:space="preserve">В </w:t>
      </w:r>
      <w:proofErr w:type="gramStart"/>
      <w:r w:rsidR="00F7504A" w:rsidRPr="00B74443">
        <w:rPr>
          <w:sz w:val="28"/>
          <w:szCs w:val="28"/>
        </w:rPr>
        <w:t>случае</w:t>
      </w:r>
      <w:proofErr w:type="gramEnd"/>
      <w:r w:rsidR="00F7504A" w:rsidRPr="00B74443">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 xml:space="preserve">В </w:t>
      </w:r>
      <w:proofErr w:type="gramStart"/>
      <w:r w:rsidR="00F7504A" w:rsidRPr="00B74443">
        <w:rPr>
          <w:sz w:val="28"/>
          <w:szCs w:val="28"/>
        </w:rPr>
        <w:t>целях</w:t>
      </w:r>
      <w:proofErr w:type="gramEnd"/>
      <w:r w:rsidR="00F7504A" w:rsidRPr="00B74443">
        <w:rPr>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w:t>
      </w:r>
      <w:proofErr w:type="gramStart"/>
      <w:r w:rsidR="00F7504A" w:rsidRPr="00B74443">
        <w:rPr>
          <w:sz w:val="28"/>
          <w:szCs w:val="28"/>
        </w:rPr>
        <w:t>случае</w:t>
      </w:r>
      <w:proofErr w:type="gramEnd"/>
      <w:r w:rsidR="00F7504A" w:rsidRPr="00B74443">
        <w:rPr>
          <w:sz w:val="28"/>
          <w:szCs w:val="28"/>
        </w:rPr>
        <w:t xml:space="preserve">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xml:space="preserve">). В </w:t>
      </w:r>
      <w:proofErr w:type="gramStart"/>
      <w:r w:rsidR="00F7504A" w:rsidRPr="00B74443">
        <w:rPr>
          <w:sz w:val="28"/>
          <w:szCs w:val="28"/>
        </w:rPr>
        <w:t>случае</w:t>
      </w:r>
      <w:proofErr w:type="gramEnd"/>
      <w:r w:rsidR="00F7504A" w:rsidRPr="00B74443">
        <w:rPr>
          <w:sz w:val="28"/>
          <w:szCs w:val="28"/>
        </w:rPr>
        <w:t xml:space="preserve">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w:t>
      </w:r>
      <w:proofErr w:type="gramStart"/>
      <w:r w:rsidRPr="00B74443">
        <w:rPr>
          <w:sz w:val="28"/>
          <w:szCs w:val="28"/>
        </w:rPr>
        <w:t>соответствии</w:t>
      </w:r>
      <w:proofErr w:type="gramEnd"/>
      <w:r w:rsidRPr="00B74443">
        <w:rPr>
          <w:sz w:val="28"/>
          <w:szCs w:val="28"/>
        </w:rPr>
        <w:t xml:space="preserve">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w:t>
      </w:r>
      <w:proofErr w:type="gramStart"/>
      <w:r w:rsidR="00F7504A" w:rsidRPr="00B74443">
        <w:rPr>
          <w:sz w:val="28"/>
          <w:szCs w:val="28"/>
        </w:rPr>
        <w:t>случае</w:t>
      </w:r>
      <w:proofErr w:type="gramEnd"/>
      <w:r w:rsidR="00F7504A" w:rsidRPr="00B74443">
        <w:rPr>
          <w:sz w:val="28"/>
          <w:szCs w:val="28"/>
        </w:rPr>
        <w:t xml:space="preserve">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1"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1"/>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w:t>
      </w:r>
      <w:proofErr w:type="gramStart"/>
      <w:r w:rsidRPr="00B74443">
        <w:rPr>
          <w:rFonts w:ascii="Times New Roman" w:hAnsi="Times New Roman"/>
          <w:sz w:val="28"/>
          <w:szCs w:val="28"/>
        </w:rPr>
        <w:t>случае</w:t>
      </w:r>
      <w:proofErr w:type="gramEnd"/>
      <w:r w:rsidRPr="00B74443">
        <w:rPr>
          <w:rFonts w:ascii="Times New Roman" w:hAnsi="Times New Roman"/>
          <w:sz w:val="28"/>
          <w:szCs w:val="28"/>
        </w:rPr>
        <w:t xml:space="preserve">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w:t>
      </w:r>
      <w:proofErr w:type="gramStart"/>
      <w:r w:rsidRPr="00B74443">
        <w:rPr>
          <w:rFonts w:ascii="Times New Roman" w:hAnsi="Times New Roman"/>
          <w:sz w:val="28"/>
          <w:szCs w:val="28"/>
        </w:rPr>
        <w:t>которых</w:t>
      </w:r>
      <w:proofErr w:type="gramEnd"/>
      <w:r w:rsidRPr="00B74443">
        <w:rPr>
          <w:rFonts w:ascii="Times New Roman" w:hAnsi="Times New Roman"/>
          <w:sz w:val="28"/>
          <w:szCs w:val="28"/>
        </w:rPr>
        <w:t xml:space="preserve">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w:t>
      </w:r>
      <w:proofErr w:type="gramStart"/>
      <w:r w:rsidRPr="00B74443">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B74443">
        <w:rPr>
          <w:rFonts w:ascii="Times New Roman" w:hAnsi="Times New Roman"/>
          <w:sz w:val="28"/>
          <w:szCs w:val="28"/>
        </w:rPr>
        <w:t xml:space="preserve">.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2"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2"/>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08690C">
        <w:rPr>
          <w:sz w:val="28"/>
          <w:szCs w:val="28"/>
        </w:rPr>
        <w:t>Новомакаровского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08690C">
        <w:rPr>
          <w:sz w:val="28"/>
          <w:szCs w:val="28"/>
        </w:rPr>
        <w:t>Новомакаровского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3" w:name="p39"/>
      <w:bookmarkEnd w:id="3"/>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4" w:name="p43"/>
      <w:bookmarkEnd w:id="4"/>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5"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5"/>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8"/>
      <w:r w:rsidRPr="00B74443">
        <w:rPr>
          <w:rFonts w:ascii="Times New Roman" w:hAnsi="Times New Roman" w:cs="Times New Roman"/>
          <w:b w:val="0"/>
          <w:color w:val="auto"/>
          <w:sz w:val="28"/>
          <w:szCs w:val="28"/>
        </w:rPr>
        <w:t>в ходе предоставления муниципальной услуги</w:t>
      </w:r>
      <w:bookmarkEnd w:id="8"/>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5173"/>
      </w:tblGrid>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5173"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08690C">
        <w:tc>
          <w:tcPr>
            <w:tcW w:w="9747"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5173"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5173"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08690C">
        <w:tc>
          <w:tcPr>
            <w:tcW w:w="9747"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08690C">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5173"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08690C">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5173"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08690C">
        <w:tc>
          <w:tcPr>
            <w:tcW w:w="9747"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5173"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5173"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8363"/>
      </w:tblGrid>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8363"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08690C">
        <w:tc>
          <w:tcPr>
            <w:tcW w:w="9747"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8363"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8363"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8363"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08690C">
        <w:tc>
          <w:tcPr>
            <w:tcW w:w="9747"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08690C">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8363"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08690C">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8363"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08690C">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8363"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08690C">
        <w:tc>
          <w:tcPr>
            <w:tcW w:w="9747"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08690C">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8363"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08690C">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8363"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08690C">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8363"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08690C" w:rsidP="0088515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5F0A5B" w:rsidRPr="00B74443">
              <w:rPr>
                <w:rFonts w:ascii="Times New Roman" w:eastAsiaTheme="minorHAnsi" w:hAnsi="Times New Roman"/>
                <w:sz w:val="28"/>
                <w:szCs w:val="28"/>
                <w:lang w:eastAsia="en-US"/>
              </w:rPr>
              <w:t xml:space="preserve">Заявитель </w:t>
            </w:r>
            <w:bookmarkStart w:id="9" w:name="_GoBack"/>
            <w:r w:rsidR="005F0A5B" w:rsidRPr="00B74443">
              <w:rPr>
                <w:rFonts w:ascii="Times New Roman" w:eastAsiaTheme="minorHAnsi" w:hAnsi="Times New Roman"/>
                <w:sz w:val="28"/>
                <w:szCs w:val="28"/>
                <w:lang w:eastAsia="en-US"/>
              </w:rPr>
              <w:t>_________</w:t>
            </w:r>
            <w:bookmarkEnd w:id="9"/>
            <w:r w:rsidR="005F0A5B" w:rsidRPr="00B74443">
              <w:rPr>
                <w:rFonts w:ascii="Times New Roman" w:eastAsiaTheme="minorHAnsi" w:hAnsi="Times New Roman"/>
                <w:sz w:val="28"/>
                <w:szCs w:val="28"/>
                <w:lang w:eastAsia="en-US"/>
              </w:rPr>
              <w:t>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732" w:rsidRDefault="00185732" w:rsidP="009476CE">
      <w:r>
        <w:separator/>
      </w:r>
    </w:p>
  </w:endnote>
  <w:endnote w:type="continuationSeparator" w:id="0">
    <w:p w:rsidR="00185732" w:rsidRDefault="0018573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732" w:rsidRDefault="00185732" w:rsidP="009476CE">
      <w:r>
        <w:separator/>
      </w:r>
    </w:p>
  </w:footnote>
  <w:footnote w:type="continuationSeparator" w:id="0">
    <w:p w:rsidR="00185732" w:rsidRDefault="0018573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74443" w:rsidRDefault="00B74443">
        <w:pPr>
          <w:pStyle w:val="a9"/>
          <w:jc w:val="center"/>
        </w:pPr>
        <w:r>
          <w:fldChar w:fldCharType="begin"/>
        </w:r>
        <w:r>
          <w:instrText>PAGE   \* MERGEFORMAT</w:instrText>
        </w:r>
        <w:r>
          <w:fldChar w:fldCharType="separate"/>
        </w:r>
        <w:r w:rsidR="00FA765C">
          <w:rPr>
            <w:noProof/>
          </w:rPr>
          <w:t>39</w:t>
        </w:r>
        <w:r>
          <w:fldChar w:fldCharType="end"/>
        </w:r>
      </w:p>
    </w:sdtContent>
  </w:sdt>
  <w:p w:rsidR="00B74443" w:rsidRDefault="00B744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807BF"/>
    <w:rsid w:val="0008690C"/>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5732"/>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63BA1"/>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0137"/>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97E2A"/>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362CF"/>
    <w:rsid w:val="00B4729F"/>
    <w:rsid w:val="00B52E9E"/>
    <w:rsid w:val="00B54CE4"/>
    <w:rsid w:val="00B56651"/>
    <w:rsid w:val="00B56D4C"/>
    <w:rsid w:val="00B72B71"/>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0FAA"/>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03C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77CA8"/>
    <w:rsid w:val="00F832B3"/>
    <w:rsid w:val="00F9282E"/>
    <w:rsid w:val="00F93762"/>
    <w:rsid w:val="00F93775"/>
    <w:rsid w:val="00F955CC"/>
    <w:rsid w:val="00FA51B8"/>
    <w:rsid w:val="00FA5A39"/>
    <w:rsid w:val="00FA765C"/>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96E5-5E09-40FC-8969-F125CD85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6797</TotalTime>
  <Pages>1</Pages>
  <Words>14053</Words>
  <Characters>80106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459</cp:revision>
  <cp:lastPrinted>2023-07-18T09:53:00Z</cp:lastPrinted>
  <dcterms:created xsi:type="dcterms:W3CDTF">2023-03-27T09:10:00Z</dcterms:created>
  <dcterms:modified xsi:type="dcterms:W3CDTF">2023-11-01T12:47:00Z</dcterms:modified>
</cp:coreProperties>
</file>