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C9" w:rsidRDefault="00D453C9" w:rsidP="00D453C9">
      <w:pPr>
        <w:jc w:val="center"/>
        <w:rPr>
          <w:rFonts w:ascii="Times New Roman" w:hAnsi="Times New Roman"/>
          <w:b/>
          <w:sz w:val="28"/>
          <w:szCs w:val="28"/>
        </w:rPr>
      </w:pPr>
      <w:r>
        <w:rPr>
          <w:rFonts w:ascii="Times New Roman" w:hAnsi="Times New Roman"/>
          <w:b/>
          <w:sz w:val="28"/>
          <w:szCs w:val="28"/>
        </w:rPr>
        <w:t xml:space="preserve">АДМИНИСТРАЦИЯ </w:t>
      </w:r>
    </w:p>
    <w:p w:rsidR="00D453C9" w:rsidRDefault="00D453C9" w:rsidP="00D453C9">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D453C9" w:rsidRDefault="00D453C9" w:rsidP="00D453C9">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D453C9" w:rsidRDefault="00D453C9" w:rsidP="00D453C9">
      <w:pPr>
        <w:jc w:val="center"/>
        <w:rPr>
          <w:rFonts w:ascii="Times New Roman" w:hAnsi="Times New Roman"/>
          <w:sz w:val="28"/>
          <w:szCs w:val="28"/>
        </w:rPr>
      </w:pPr>
    </w:p>
    <w:p w:rsidR="00D453C9" w:rsidRDefault="00D453C9" w:rsidP="00D453C9">
      <w:pPr>
        <w:jc w:val="center"/>
        <w:rPr>
          <w:rFonts w:ascii="Times New Roman" w:hAnsi="Times New Roman"/>
          <w:b/>
          <w:sz w:val="28"/>
          <w:szCs w:val="28"/>
        </w:rPr>
      </w:pPr>
      <w:r>
        <w:rPr>
          <w:rFonts w:ascii="Times New Roman" w:hAnsi="Times New Roman"/>
          <w:b/>
          <w:sz w:val="28"/>
          <w:szCs w:val="28"/>
        </w:rPr>
        <w:t>П О С Т А Н О В Л Е Н И Е</w:t>
      </w:r>
    </w:p>
    <w:p w:rsidR="00D453C9" w:rsidRDefault="00D453C9" w:rsidP="00D453C9">
      <w:pPr>
        <w:rPr>
          <w:rFonts w:ascii="Times New Roman" w:hAnsi="Times New Roman"/>
          <w:sz w:val="28"/>
          <w:szCs w:val="28"/>
        </w:rPr>
      </w:pPr>
    </w:p>
    <w:p w:rsidR="00E348E5" w:rsidRDefault="00E348E5" w:rsidP="00E348E5">
      <w:pPr>
        <w:ind w:firstLine="0"/>
        <w:rPr>
          <w:rFonts w:ascii="Times New Roman" w:hAnsi="Times New Roman"/>
          <w:sz w:val="28"/>
          <w:szCs w:val="28"/>
        </w:rPr>
      </w:pPr>
      <w:r>
        <w:rPr>
          <w:rFonts w:ascii="Times New Roman" w:hAnsi="Times New Roman"/>
          <w:sz w:val="28"/>
          <w:szCs w:val="28"/>
        </w:rPr>
        <w:t>от  02.11.2023 г. № 5</w:t>
      </w:r>
      <w:r>
        <w:rPr>
          <w:rFonts w:ascii="Times New Roman" w:hAnsi="Times New Roman"/>
          <w:sz w:val="28"/>
          <w:szCs w:val="28"/>
        </w:rPr>
        <w:t>5</w:t>
      </w:r>
    </w:p>
    <w:p w:rsidR="00D453C9" w:rsidRDefault="00E348E5" w:rsidP="00E348E5">
      <w:pPr>
        <w:ind w:firstLine="0"/>
        <w:rPr>
          <w:rFonts w:ascii="Times New Roman" w:hAnsi="Times New Roman"/>
          <w:sz w:val="28"/>
          <w:szCs w:val="28"/>
        </w:rPr>
      </w:pPr>
      <w:r>
        <w:rPr>
          <w:rFonts w:ascii="Times New Roman" w:hAnsi="Times New Roman"/>
          <w:sz w:val="28"/>
          <w:szCs w:val="28"/>
        </w:rPr>
        <w:t>с. Новомакарово</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6C6D09">
        <w:rPr>
          <w:rFonts w:ascii="Times New Roman" w:hAnsi="Times New Roman"/>
          <w:sz w:val="28"/>
          <w:szCs w:val="28"/>
        </w:rPr>
        <w:t>Новомакаровского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proofErr w:type="gramStart"/>
      <w:r w:rsidRPr="00C001D8">
        <w:rPr>
          <w:rFonts w:ascii="Times New Roman" w:hAnsi="Times New Roman"/>
          <w:sz w:val="28"/>
          <w:szCs w:val="28"/>
        </w:rPr>
        <w:t>от</w:t>
      </w:r>
      <w:proofErr w:type="gramEnd"/>
      <w:r w:rsidRPr="00C001D8">
        <w:rPr>
          <w:rFonts w:ascii="Times New Roman" w:hAnsi="Times New Roman"/>
          <w:sz w:val="28"/>
          <w:szCs w:val="28"/>
        </w:rPr>
        <w:t xml:space="preserve">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C6D09">
        <w:rPr>
          <w:rFonts w:ascii="Times New Roman" w:hAnsi="Times New Roman"/>
          <w:sz w:val="28"/>
          <w:szCs w:val="28"/>
        </w:rPr>
        <w:t>Новомакаровского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6C6D09">
        <w:t>Новомакаровского</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6C6D09">
        <w:rPr>
          <w:rFonts w:ascii="Times New Roman" w:hAnsi="Times New Roman"/>
          <w:sz w:val="28"/>
          <w:szCs w:val="28"/>
        </w:rPr>
        <w:t>Новомакаровского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t>- от «</w:t>
      </w:r>
      <w:r w:rsidR="00607809">
        <w:rPr>
          <w:rFonts w:ascii="Times New Roman" w:hAnsi="Times New Roman" w:cs="Times New Roman"/>
          <w:b w:val="0"/>
          <w:sz w:val="28"/>
          <w:szCs w:val="28"/>
        </w:rPr>
        <w:t>16</w:t>
      </w:r>
      <w:r w:rsidRPr="00C001D8">
        <w:rPr>
          <w:rFonts w:ascii="Times New Roman" w:hAnsi="Times New Roman" w:cs="Times New Roman"/>
          <w:b w:val="0"/>
          <w:sz w:val="28"/>
          <w:szCs w:val="28"/>
        </w:rPr>
        <w:t>»</w:t>
      </w:r>
      <w:r w:rsidR="00607809">
        <w:rPr>
          <w:rFonts w:ascii="Times New Roman" w:hAnsi="Times New Roman" w:cs="Times New Roman"/>
          <w:b w:val="0"/>
          <w:sz w:val="28"/>
          <w:szCs w:val="28"/>
        </w:rPr>
        <w:t xml:space="preserve"> декабря</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 xml:space="preserve">г. № </w:t>
      </w:r>
      <w:r w:rsidR="00607809">
        <w:rPr>
          <w:rFonts w:ascii="Times New Roman" w:hAnsi="Times New Roman" w:cs="Times New Roman"/>
          <w:b w:val="0"/>
          <w:sz w:val="28"/>
          <w:szCs w:val="28"/>
        </w:rPr>
        <w:t>67</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6C6D09" w:rsidRPr="006C6D09">
        <w:rPr>
          <w:rFonts w:ascii="Times New Roman" w:hAnsi="Times New Roman"/>
          <w:b w:val="0"/>
          <w:sz w:val="28"/>
          <w:szCs w:val="28"/>
        </w:rPr>
        <w:t>Новомакаровского</w:t>
      </w:r>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от «</w:t>
      </w:r>
      <w:r w:rsidR="00607809">
        <w:rPr>
          <w:rFonts w:ascii="Times New Roman" w:hAnsi="Times New Roman"/>
          <w:sz w:val="28"/>
          <w:szCs w:val="28"/>
        </w:rPr>
        <w:t>14</w:t>
      </w:r>
      <w:r w:rsidRPr="00C001D8">
        <w:rPr>
          <w:rFonts w:ascii="Times New Roman" w:hAnsi="Times New Roman"/>
          <w:sz w:val="28"/>
          <w:szCs w:val="28"/>
        </w:rPr>
        <w:t>»</w:t>
      </w:r>
      <w:r w:rsidR="00607809">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607809">
        <w:rPr>
          <w:rFonts w:ascii="Times New Roman" w:hAnsi="Times New Roman"/>
          <w:sz w:val="28"/>
          <w:szCs w:val="28"/>
        </w:rPr>
        <w:t>28</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6C6D09" w:rsidRPr="006C6D09">
        <w:rPr>
          <w:rFonts w:ascii="Times New Roman" w:hAnsi="Times New Roman"/>
          <w:sz w:val="28"/>
          <w:szCs w:val="28"/>
        </w:rPr>
        <w:t>Новомакаровского</w:t>
      </w:r>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6C6D09" w:rsidRPr="006C6D09">
        <w:rPr>
          <w:rFonts w:ascii="Times New Roman" w:hAnsi="Times New Roman"/>
          <w:sz w:val="28"/>
          <w:szCs w:val="28"/>
        </w:rPr>
        <w:t>Новомакаровского</w:t>
      </w:r>
      <w:r w:rsidR="00FA595B" w:rsidRPr="00C001D8">
        <w:rPr>
          <w:rFonts w:ascii="Times New Roman" w:hAnsi="Times New Roman"/>
          <w:sz w:val="28"/>
          <w:szCs w:val="28"/>
        </w:rPr>
        <w:t xml:space="preserve"> сельского поселения Грибановского муниципального района от </w:t>
      </w:r>
      <w:r w:rsidR="00607809">
        <w:rPr>
          <w:rFonts w:ascii="Times New Roman" w:hAnsi="Times New Roman"/>
          <w:sz w:val="28"/>
          <w:szCs w:val="28"/>
        </w:rPr>
        <w:t>16.12</w:t>
      </w:r>
      <w:r w:rsidR="00FA595B" w:rsidRPr="00C001D8">
        <w:rPr>
          <w:rFonts w:ascii="Times New Roman" w:hAnsi="Times New Roman"/>
          <w:sz w:val="28"/>
          <w:szCs w:val="28"/>
        </w:rPr>
        <w:t xml:space="preserve">.2015 № </w:t>
      </w:r>
      <w:r w:rsidR="00607809">
        <w:rPr>
          <w:rFonts w:ascii="Times New Roman" w:hAnsi="Times New Roman"/>
          <w:sz w:val="28"/>
          <w:szCs w:val="28"/>
        </w:rPr>
        <w:t>67</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6C6D09" w:rsidRPr="006C6D09">
        <w:rPr>
          <w:rFonts w:ascii="Times New Roman" w:hAnsi="Times New Roman"/>
          <w:sz w:val="28"/>
          <w:szCs w:val="28"/>
        </w:rPr>
        <w:t>Новомакаровского</w:t>
      </w:r>
      <w:r w:rsidRPr="00C001D8">
        <w:rPr>
          <w:rFonts w:ascii="Times New Roman" w:hAnsi="Times New Roman"/>
          <w:sz w:val="28"/>
          <w:szCs w:val="28"/>
        </w:rPr>
        <w:t xml:space="preserve"> сельского поселения и размещения на официальном сайте </w:t>
      </w:r>
      <w:r w:rsidR="006C6D09" w:rsidRPr="006C6D09">
        <w:rPr>
          <w:rFonts w:ascii="Times New Roman" w:hAnsi="Times New Roman"/>
          <w:sz w:val="28"/>
          <w:szCs w:val="28"/>
        </w:rPr>
        <w:t>Новомакаровского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p w:rsidR="002E68CE" w:rsidRDefault="002E68CE" w:rsidP="002E68CE">
      <w:pPr>
        <w:ind w:firstLine="0"/>
        <w:rPr>
          <w:rFonts w:ascii="Times New Roman" w:hAnsi="Times New Roman"/>
          <w:sz w:val="28"/>
          <w:szCs w:val="28"/>
        </w:rPr>
      </w:pPr>
    </w:p>
    <w:p w:rsidR="002E68CE" w:rsidRDefault="002E68CE" w:rsidP="002E68CE">
      <w:pPr>
        <w:ind w:firstLine="0"/>
        <w:rPr>
          <w:rFonts w:ascii="Times New Roman" w:hAnsi="Times New Roman"/>
          <w:sz w:val="28"/>
          <w:szCs w:val="28"/>
        </w:rPr>
      </w:pPr>
    </w:p>
    <w:p w:rsidR="002E68CE" w:rsidRPr="00C001D8" w:rsidRDefault="002E68CE" w:rsidP="002E68CE">
      <w:pPr>
        <w:ind w:firstLine="0"/>
        <w:rPr>
          <w:rFonts w:ascii="Times New Roman" w:hAnsi="Times New Roman"/>
          <w:sz w:val="28"/>
          <w:szCs w:val="28"/>
        </w:rPr>
      </w:pPr>
      <w:r>
        <w:rPr>
          <w:rFonts w:ascii="Times New Roman" w:hAnsi="Times New Roman"/>
          <w:sz w:val="28"/>
          <w:szCs w:val="28"/>
        </w:rPr>
        <w:t>Глава сельского поселения                                                                       С.А.Шатов</w:t>
      </w: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2E68CE" w:rsidRDefault="002E68CE" w:rsidP="00FA595B">
      <w:pPr>
        <w:widowControl w:val="0"/>
        <w:ind w:firstLine="709"/>
        <w:jc w:val="right"/>
        <w:rPr>
          <w:rFonts w:ascii="Times New Roman" w:eastAsia="Arial Unicode MS" w:hAnsi="Times New Roman"/>
          <w:sz w:val="28"/>
          <w:szCs w:val="28"/>
          <w:lang w:bidi="ru-RU"/>
        </w:rPr>
      </w:pP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bookmarkStart w:id="0" w:name="_GoBack"/>
      <w:bookmarkEnd w:id="0"/>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6C6D09" w:rsidP="00FA595B">
      <w:pPr>
        <w:widowControl w:val="0"/>
        <w:ind w:firstLine="709"/>
        <w:jc w:val="right"/>
        <w:rPr>
          <w:rFonts w:ascii="Times New Roman" w:hAnsi="Times New Roman"/>
          <w:bCs/>
          <w:kern w:val="28"/>
          <w:sz w:val="28"/>
          <w:szCs w:val="28"/>
          <w:lang w:bidi="ru-RU"/>
        </w:rPr>
      </w:pPr>
      <w:r w:rsidRPr="006C6D09">
        <w:rPr>
          <w:rFonts w:ascii="Times New Roman" w:hAnsi="Times New Roman"/>
          <w:sz w:val="28"/>
          <w:szCs w:val="28"/>
        </w:rPr>
        <w:t>Новомакаровского</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w:t>
      </w:r>
      <w:r w:rsidR="00E348E5">
        <w:rPr>
          <w:rFonts w:ascii="Times New Roman" w:eastAsia="Arial Unicode MS" w:hAnsi="Times New Roman"/>
          <w:sz w:val="28"/>
          <w:szCs w:val="28"/>
          <w:lang w:bidi="ru-RU"/>
        </w:rPr>
        <w:t>02</w:t>
      </w:r>
      <w:r w:rsidRPr="00C001D8">
        <w:rPr>
          <w:rFonts w:ascii="Times New Roman" w:eastAsia="Arial Unicode MS" w:hAnsi="Times New Roman"/>
          <w:sz w:val="28"/>
          <w:szCs w:val="28"/>
          <w:lang w:bidi="ru-RU"/>
        </w:rPr>
        <w:t>»</w:t>
      </w:r>
      <w:r w:rsidR="00E348E5">
        <w:rPr>
          <w:rFonts w:ascii="Times New Roman" w:eastAsia="Arial Unicode MS" w:hAnsi="Times New Roman"/>
          <w:sz w:val="28"/>
          <w:szCs w:val="28"/>
          <w:lang w:bidi="ru-RU"/>
        </w:rPr>
        <w:t xml:space="preserve"> ноября </w:t>
      </w:r>
      <w:r w:rsidRPr="00C001D8">
        <w:rPr>
          <w:rFonts w:ascii="Times New Roman" w:eastAsia="Arial Unicode MS" w:hAnsi="Times New Roman"/>
          <w:sz w:val="28"/>
          <w:szCs w:val="28"/>
          <w:lang w:bidi="ru-RU"/>
        </w:rPr>
        <w:t xml:space="preserve">2023 г. № </w:t>
      </w:r>
      <w:r w:rsidR="00E348E5">
        <w:rPr>
          <w:rFonts w:ascii="Times New Roman" w:eastAsia="Arial Unicode MS" w:hAnsi="Times New Roman"/>
          <w:sz w:val="28"/>
          <w:szCs w:val="28"/>
          <w:lang w:bidi="ru-RU"/>
        </w:rPr>
        <w:t>55</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6C6D09" w:rsidRPr="006C6D09">
        <w:rPr>
          <w:i w:val="0"/>
          <w:sz w:val="28"/>
          <w:szCs w:val="28"/>
        </w:rPr>
        <w:t>Новомакаровского</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6C6D09" w:rsidRPr="006C6D09">
        <w:rPr>
          <w:i w:val="0"/>
          <w:sz w:val="28"/>
          <w:szCs w:val="28"/>
        </w:rPr>
        <w:t>Новомакаровского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6C6D09" w:rsidRPr="006C6D09">
        <w:rPr>
          <w:i w:val="0"/>
          <w:sz w:val="28"/>
          <w:szCs w:val="28"/>
        </w:rPr>
        <w:t>Новомакаровского</w:t>
      </w:r>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C6D09" w:rsidRPr="006C6D09">
        <w:rPr>
          <w:sz w:val="28"/>
          <w:szCs w:val="28"/>
        </w:rPr>
        <w:t>Новомакаровского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C6D09" w:rsidRPr="006C6D09">
        <w:rPr>
          <w:sz w:val="28"/>
          <w:szCs w:val="28"/>
        </w:rPr>
        <w:t>Новомакаровского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w:t>
      </w:r>
      <w:r w:rsidRPr="00C001D8">
        <w:rPr>
          <w:sz w:val="28"/>
          <w:szCs w:val="28"/>
        </w:rPr>
        <w:lastRenderedPageBreak/>
        <w:t>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6C6D09" w:rsidRPr="006C6D09">
        <w:rPr>
          <w:sz w:val="28"/>
          <w:szCs w:val="28"/>
        </w:rPr>
        <w:t>Новомакаровского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w:t>
      </w:r>
      <w:r w:rsidR="00B97B25">
        <w:rPr>
          <w:sz w:val="28"/>
          <w:szCs w:val="28"/>
        </w:rPr>
        <w:t>http://novomakarovo-grib.ru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r w:rsidR="00CD2D55" w:rsidRPr="00C001D8">
        <w:rPr>
          <w:sz w:val="28"/>
          <w:szCs w:val="28"/>
          <w:lang w:val="en-US"/>
        </w:rPr>
        <w:t>ru</w:t>
      </w:r>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r w:rsidR="00151683" w:rsidRPr="00C001D8">
        <w:rPr>
          <w:sz w:val="28"/>
          <w:szCs w:val="28"/>
          <w:lang w:val="en-US"/>
        </w:rPr>
        <w:t>govvrn</w:t>
      </w:r>
      <w:r w:rsidR="00151683" w:rsidRPr="00C001D8">
        <w:rPr>
          <w:sz w:val="28"/>
          <w:szCs w:val="28"/>
        </w:rPr>
        <w:t>.</w:t>
      </w:r>
      <w:r w:rsidR="00151683" w:rsidRPr="00C001D8">
        <w:rPr>
          <w:sz w:val="28"/>
          <w:szCs w:val="28"/>
          <w:lang w:val="en-US"/>
        </w:rPr>
        <w:t>ru</w:t>
      </w:r>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lastRenderedPageBreak/>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6C6D09" w:rsidRPr="006C6D09">
        <w:rPr>
          <w:sz w:val="28"/>
          <w:szCs w:val="28"/>
        </w:rPr>
        <w:t>Новомакаровского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6C6D09" w:rsidRPr="006C6D09">
        <w:rPr>
          <w:rFonts w:ascii="Times New Roman" w:hAnsi="Times New Roman"/>
          <w:sz w:val="28"/>
          <w:szCs w:val="28"/>
        </w:rPr>
        <w:t>Новомакаровского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6C6D09" w:rsidRPr="006C6D09">
        <w:rPr>
          <w:rFonts w:ascii="Times New Roman" w:hAnsi="Times New Roman"/>
          <w:sz w:val="28"/>
          <w:szCs w:val="28"/>
        </w:rPr>
        <w:t>Новомакаровского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lastRenderedPageBreak/>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6C6D09" w:rsidRPr="006C6D09">
        <w:rPr>
          <w:rFonts w:ascii="Times New Roman" w:hAnsi="Times New Roman"/>
          <w:sz w:val="28"/>
          <w:szCs w:val="28"/>
        </w:rPr>
        <w:t>Новомакаровского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6C6D09" w:rsidRPr="006C6D09">
        <w:rPr>
          <w:rFonts w:ascii="Times New Roman" w:hAnsi="Times New Roman"/>
          <w:sz w:val="28"/>
          <w:szCs w:val="28"/>
        </w:rPr>
        <w:t>Новомакаровского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 xml:space="preserve">егламенты» раздела «Муниципальные услуги» по адресу </w:t>
      </w:r>
      <w:r w:rsidR="00B97B25">
        <w:rPr>
          <w:sz w:val="28"/>
          <w:szCs w:val="28"/>
        </w:rPr>
        <w:t>http://novomakarovo-grib.ru</w:t>
      </w:r>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lastRenderedPageBreak/>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C001D8">
        <w:rPr>
          <w:rFonts w:ascii="Times New Roman" w:eastAsiaTheme="minorHAnsi" w:hAnsi="Times New Roman"/>
          <w:sz w:val="28"/>
          <w:szCs w:val="28"/>
        </w:rPr>
        <w:lastRenderedPageBreak/>
        <w:t>перечень документов.</w:t>
      </w:r>
      <w:proofErr w:type="gramEnd"/>
      <w:r w:rsidRPr="00C001D8">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lastRenderedPageBreak/>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C001D8">
        <w:rPr>
          <w:sz w:val="28"/>
          <w:szCs w:val="28"/>
        </w:rPr>
        <w:lastRenderedPageBreak/>
        <w:t>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w:t>
      </w:r>
      <w:r w:rsidR="00CD2D55" w:rsidRPr="00C001D8">
        <w:rPr>
          <w:sz w:val="28"/>
          <w:szCs w:val="28"/>
        </w:rPr>
        <w:lastRenderedPageBreak/>
        <w:t>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CD2D55" w:rsidRPr="00C001D8">
        <w:rPr>
          <w:sz w:val="28"/>
          <w:szCs w:val="28"/>
        </w:rPr>
        <w:lastRenderedPageBreak/>
        <w:t xml:space="preserve">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 xml:space="preserve">дминистративного регламента и иных нормативных правовых </w:t>
      </w:r>
      <w:r w:rsidR="00465A94" w:rsidRPr="00C001D8">
        <w:rPr>
          <w:i w:val="0"/>
          <w:sz w:val="28"/>
          <w:szCs w:val="28"/>
        </w:rPr>
        <w:lastRenderedPageBreak/>
        <w:t>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lastRenderedPageBreak/>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C6D09" w:rsidRPr="006C6D09">
        <w:rPr>
          <w:sz w:val="28"/>
          <w:szCs w:val="28"/>
        </w:rPr>
        <w:t>Новомакаровского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C6D09" w:rsidRPr="006C6D09">
        <w:rPr>
          <w:sz w:val="28"/>
          <w:szCs w:val="28"/>
        </w:rPr>
        <w:t>Новомакаровского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C001D8">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6C6D09">
      <w:pPr>
        <w:pStyle w:val="a3"/>
        <w:ind w:firstLine="709"/>
        <w:jc w:val="center"/>
      </w:pPr>
      <w:r w:rsidRPr="00C001D8">
        <w:t>Решение о выдаче выписки из реестра муниципального</w:t>
      </w:r>
    </w:p>
    <w:p w:rsidR="005D0D76" w:rsidRPr="00C001D8" w:rsidRDefault="005D0D76" w:rsidP="006C6D09">
      <w:pPr>
        <w:pStyle w:val="a3"/>
        <w:ind w:firstLine="709"/>
        <w:jc w:val="center"/>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6C6D09">
      <w:pPr>
        <w:pStyle w:val="a3"/>
        <w:ind w:firstLine="709"/>
        <w:jc w:val="both"/>
      </w:pPr>
      <w:r w:rsidRPr="00C001D8">
        <w:t>Дополнительно информируем: __________________________________ ___________________________________</w:t>
      </w:r>
      <w:r w:rsidR="006C6D09">
        <w:t xml:space="preserve">______________________________ </w:t>
      </w:r>
    </w:p>
    <w:p w:rsidR="005D0D76" w:rsidRPr="00C001D8" w:rsidRDefault="005D0D76" w:rsidP="006C6D09">
      <w:pPr>
        <w:pStyle w:val="a3"/>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6C6D09">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6C6D09">
      <w:pPr>
        <w:pStyle w:val="a3"/>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 xml:space="preserve">фамилия, имя и отчество (последнее – при наличии): 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 xml:space="preserve">фамилия, имя и отчество (последнее – при наличии): 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6C6D09">
      <w:pPr>
        <w:pStyle w:val="a3"/>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 xml:space="preserve">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6C6D09">
      <w:pPr>
        <w:pStyle w:val="a3"/>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lastRenderedPageBreak/>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D453C9">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68CE"/>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07809"/>
    <w:rsid w:val="00621192"/>
    <w:rsid w:val="00637A51"/>
    <w:rsid w:val="0067610E"/>
    <w:rsid w:val="006852E6"/>
    <w:rsid w:val="00686542"/>
    <w:rsid w:val="006A1426"/>
    <w:rsid w:val="006C6D09"/>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97B25"/>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453C9"/>
    <w:rsid w:val="00D70AC1"/>
    <w:rsid w:val="00D7763C"/>
    <w:rsid w:val="00D83FE8"/>
    <w:rsid w:val="00DB39CD"/>
    <w:rsid w:val="00DC4A9A"/>
    <w:rsid w:val="00DE4CCD"/>
    <w:rsid w:val="00DF2A35"/>
    <w:rsid w:val="00DF459B"/>
    <w:rsid w:val="00DF6068"/>
    <w:rsid w:val="00DF7510"/>
    <w:rsid w:val="00E10457"/>
    <w:rsid w:val="00E319D5"/>
    <w:rsid w:val="00E348E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362">
      <w:bodyDiv w:val="1"/>
      <w:marLeft w:val="0"/>
      <w:marRight w:val="0"/>
      <w:marTop w:val="0"/>
      <w:marBottom w:val="0"/>
      <w:divBdr>
        <w:top w:val="none" w:sz="0" w:space="0" w:color="auto"/>
        <w:left w:val="none" w:sz="0" w:space="0" w:color="auto"/>
        <w:bottom w:val="none" w:sz="0" w:space="0" w:color="auto"/>
        <w:right w:val="none" w:sz="0" w:space="0" w:color="auto"/>
      </w:divBdr>
    </w:div>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189D-C8E8-4DFB-B587-7A99D24E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13605</Words>
  <Characters>77549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Tarasov</cp:lastModifiedBy>
  <cp:revision>44</cp:revision>
  <cp:lastPrinted>2023-07-12T10:30:00Z</cp:lastPrinted>
  <dcterms:created xsi:type="dcterms:W3CDTF">2023-04-11T13:48:00Z</dcterms:created>
  <dcterms:modified xsi:type="dcterms:W3CDTF">2023-11-01T12:43:00Z</dcterms:modified>
</cp:coreProperties>
</file>