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DF6BFC" w:rsidRDefault="0018435D" w:rsidP="00507CB7">
      <w:pPr>
        <w:keepNext/>
        <w:widowControl w:val="0"/>
        <w:suppressAutoHyphens/>
        <w:snapToGrid w:val="0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507CB7" w:rsidRPr="00507CB7" w:rsidRDefault="00507CB7" w:rsidP="00507CB7">
      <w:pPr>
        <w:jc w:val="center"/>
        <w:rPr>
          <w:b/>
          <w:iCs/>
          <w:sz w:val="28"/>
          <w:szCs w:val="28"/>
        </w:rPr>
      </w:pPr>
      <w:bookmarkStart w:id="0" w:name="_GoBack"/>
      <w:r w:rsidRPr="00507CB7">
        <w:rPr>
          <w:b/>
          <w:iCs/>
          <w:sz w:val="28"/>
          <w:szCs w:val="28"/>
        </w:rPr>
        <w:t>СОВЕТ НАРОДНЫХ ДЕПУТАТОВ</w:t>
      </w:r>
    </w:p>
    <w:p w:rsidR="00507CB7" w:rsidRPr="00507CB7" w:rsidRDefault="00507CB7" w:rsidP="00507CB7">
      <w:pPr>
        <w:jc w:val="center"/>
        <w:rPr>
          <w:b/>
          <w:iCs/>
          <w:sz w:val="28"/>
          <w:szCs w:val="28"/>
        </w:rPr>
      </w:pPr>
      <w:r w:rsidRPr="00507CB7">
        <w:rPr>
          <w:b/>
          <w:iCs/>
          <w:sz w:val="28"/>
          <w:szCs w:val="28"/>
        </w:rPr>
        <w:t>НОВОМАКАРОВСКОГО СЕЛЬСКОГО ПОСЕЛЕНИЯ</w:t>
      </w:r>
    </w:p>
    <w:p w:rsidR="00507CB7" w:rsidRPr="00507CB7" w:rsidRDefault="00507CB7" w:rsidP="00507CB7">
      <w:pPr>
        <w:jc w:val="center"/>
        <w:rPr>
          <w:b/>
          <w:iCs/>
          <w:sz w:val="28"/>
          <w:szCs w:val="28"/>
        </w:rPr>
      </w:pPr>
      <w:r w:rsidRPr="00507CB7">
        <w:rPr>
          <w:b/>
          <w:iCs/>
          <w:sz w:val="28"/>
          <w:szCs w:val="28"/>
        </w:rPr>
        <w:t>ГРИБАНОВСКОГО МУНИЦИПАЛЬНОГО РАЙОНА</w:t>
      </w:r>
    </w:p>
    <w:p w:rsidR="00507CB7" w:rsidRPr="00507CB7" w:rsidRDefault="00507CB7" w:rsidP="00507CB7">
      <w:pPr>
        <w:jc w:val="center"/>
        <w:rPr>
          <w:b/>
          <w:iCs/>
          <w:sz w:val="28"/>
          <w:szCs w:val="28"/>
        </w:rPr>
      </w:pPr>
      <w:r w:rsidRPr="00507CB7">
        <w:rPr>
          <w:b/>
          <w:iCs/>
          <w:sz w:val="28"/>
          <w:szCs w:val="28"/>
        </w:rPr>
        <w:t>ВОРОНЕЖСКОЙ ОБЛАСТИ</w:t>
      </w:r>
    </w:p>
    <w:p w:rsidR="00507CB7" w:rsidRPr="00507CB7" w:rsidRDefault="00507CB7" w:rsidP="00507CB7">
      <w:pPr>
        <w:jc w:val="center"/>
        <w:rPr>
          <w:iCs/>
          <w:sz w:val="28"/>
          <w:szCs w:val="28"/>
        </w:rPr>
      </w:pPr>
    </w:p>
    <w:p w:rsidR="00507CB7" w:rsidRPr="00507CB7" w:rsidRDefault="00507CB7" w:rsidP="00507CB7">
      <w:pPr>
        <w:jc w:val="center"/>
        <w:rPr>
          <w:b/>
          <w:iCs/>
          <w:sz w:val="28"/>
          <w:szCs w:val="28"/>
        </w:rPr>
      </w:pPr>
      <w:proofErr w:type="gramStart"/>
      <w:r w:rsidRPr="00507CB7">
        <w:rPr>
          <w:b/>
          <w:iCs/>
          <w:sz w:val="28"/>
          <w:szCs w:val="28"/>
        </w:rPr>
        <w:t>Р</w:t>
      </w:r>
      <w:proofErr w:type="gramEnd"/>
      <w:r w:rsidRPr="00507CB7">
        <w:rPr>
          <w:b/>
          <w:iCs/>
          <w:sz w:val="28"/>
          <w:szCs w:val="28"/>
        </w:rPr>
        <w:t xml:space="preserve"> Е Ш Е Н И Е </w:t>
      </w:r>
    </w:p>
    <w:p w:rsidR="00507CB7" w:rsidRDefault="00507CB7" w:rsidP="00507CB7">
      <w:pPr>
        <w:jc w:val="both"/>
        <w:rPr>
          <w:b/>
          <w:bCs/>
          <w:iCs/>
          <w:szCs w:val="28"/>
        </w:rPr>
      </w:pPr>
    </w:p>
    <w:p w:rsidR="00507CB7" w:rsidRPr="00507CB7" w:rsidRDefault="00507CB7" w:rsidP="00507CB7">
      <w:pPr>
        <w:jc w:val="both"/>
        <w:rPr>
          <w:sz w:val="28"/>
          <w:szCs w:val="28"/>
        </w:rPr>
      </w:pPr>
      <w:r w:rsidRPr="00507CB7">
        <w:rPr>
          <w:sz w:val="28"/>
          <w:szCs w:val="28"/>
        </w:rPr>
        <w:t xml:space="preserve">от 17.02.2023 г. № </w:t>
      </w:r>
      <w:r w:rsidRPr="00507CB7">
        <w:rPr>
          <w:sz w:val="28"/>
          <w:szCs w:val="28"/>
        </w:rPr>
        <w:t>118</w:t>
      </w:r>
    </w:p>
    <w:p w:rsidR="00507CB7" w:rsidRDefault="00507CB7" w:rsidP="00507CB7">
      <w:pPr>
        <w:jc w:val="both"/>
        <w:rPr>
          <w:b/>
        </w:rPr>
      </w:pPr>
      <w:r w:rsidRPr="00507CB7">
        <w:rPr>
          <w:sz w:val="28"/>
          <w:szCs w:val="28"/>
        </w:rPr>
        <w:t>с. Новомакарово</w:t>
      </w:r>
    </w:p>
    <w:bookmarkEnd w:id="0"/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</w:t>
      </w:r>
      <w:proofErr w:type="gramStart"/>
      <w:r w:rsidRPr="00DF6BFC">
        <w:rPr>
          <w:sz w:val="28"/>
          <w:szCs w:val="28"/>
          <w:lang w:eastAsia="en-US"/>
        </w:rPr>
        <w:t>соответствии</w:t>
      </w:r>
      <w:proofErr w:type="gramEnd"/>
      <w:r w:rsidRPr="00DF6BFC">
        <w:rPr>
          <w:sz w:val="28"/>
          <w:szCs w:val="28"/>
          <w:lang w:eastAsia="en-US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507CB7" w:rsidRPr="00DF6BFC" w:rsidRDefault="00507CB7" w:rsidP="00DF6BFC">
      <w:pPr>
        <w:ind w:firstLine="709"/>
        <w:jc w:val="center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Назначить и провести публичные слушания по проекту решения Совета народных депутатов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507CB7" w:rsidRPr="00277421" w:rsidRDefault="00507CB7" w:rsidP="00507C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Шатов Сергей Анатольевич</w:t>
      </w:r>
      <w:r w:rsidRPr="00277421">
        <w:rPr>
          <w:color w:val="000000"/>
          <w:sz w:val="28"/>
          <w:szCs w:val="28"/>
        </w:rPr>
        <w:t xml:space="preserve"> - глава сельского поселения,</w:t>
      </w:r>
    </w:p>
    <w:p w:rsidR="00507CB7" w:rsidRPr="00277421" w:rsidRDefault="00507CB7" w:rsidP="00507C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Утешева Галина Ивановна</w:t>
      </w:r>
      <w:r w:rsidRPr="00277421">
        <w:rPr>
          <w:color w:val="000000"/>
          <w:sz w:val="28"/>
          <w:szCs w:val="28"/>
        </w:rPr>
        <w:t xml:space="preserve">   - </w:t>
      </w:r>
      <w:r>
        <w:rPr>
          <w:color w:val="000000"/>
          <w:sz w:val="28"/>
          <w:szCs w:val="28"/>
        </w:rPr>
        <w:t>ведущий специалист</w:t>
      </w:r>
      <w:r w:rsidRPr="00277421">
        <w:rPr>
          <w:color w:val="000000"/>
          <w:sz w:val="28"/>
          <w:szCs w:val="28"/>
        </w:rPr>
        <w:t xml:space="preserve"> администрации,</w:t>
      </w:r>
    </w:p>
    <w:p w:rsidR="00507CB7" w:rsidRPr="00277421" w:rsidRDefault="00507CB7" w:rsidP="00507CB7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Ельчанинова Ольга Анатольевна</w:t>
      </w:r>
      <w:r w:rsidRPr="00277421"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</w:rPr>
        <w:t>инспектор по бухгалтерскому учёту</w:t>
      </w:r>
      <w:r w:rsidRPr="00277421">
        <w:rPr>
          <w:color w:val="000000"/>
          <w:sz w:val="28"/>
          <w:szCs w:val="28"/>
        </w:rPr>
        <w:t xml:space="preserve"> администрации,</w:t>
      </w:r>
    </w:p>
    <w:p w:rsidR="00507CB7" w:rsidRPr="00277421" w:rsidRDefault="00507CB7" w:rsidP="00507CB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Шипилова Ирина Владимировна </w:t>
      </w:r>
      <w:r w:rsidRPr="00277421">
        <w:rPr>
          <w:color w:val="000000"/>
          <w:sz w:val="28"/>
          <w:szCs w:val="28"/>
        </w:rPr>
        <w:t xml:space="preserve">- депутат Совета народных депутатов </w:t>
      </w:r>
      <w:r>
        <w:rPr>
          <w:color w:val="000000"/>
          <w:sz w:val="28"/>
          <w:szCs w:val="28"/>
        </w:rPr>
        <w:t xml:space="preserve">Новомакаровского </w:t>
      </w:r>
      <w:r w:rsidRPr="00277421">
        <w:rPr>
          <w:color w:val="000000"/>
          <w:sz w:val="28"/>
          <w:szCs w:val="28"/>
        </w:rPr>
        <w:t>сельского поселения,</w:t>
      </w:r>
    </w:p>
    <w:p w:rsidR="00507CB7" w:rsidRPr="00277421" w:rsidRDefault="00175393" w:rsidP="00507CB7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Косинов</w:t>
      </w:r>
      <w:proofErr w:type="spellEnd"/>
      <w:r>
        <w:rPr>
          <w:color w:val="000000"/>
          <w:sz w:val="28"/>
          <w:szCs w:val="28"/>
        </w:rPr>
        <w:t xml:space="preserve"> Александр Александрович</w:t>
      </w:r>
      <w:r w:rsidR="00507CB7" w:rsidRPr="00277421">
        <w:rPr>
          <w:color w:val="000000"/>
          <w:sz w:val="28"/>
          <w:szCs w:val="28"/>
        </w:rPr>
        <w:t xml:space="preserve">  – депутат Совета народных депутатов  </w:t>
      </w:r>
      <w:r w:rsidR="00507CB7">
        <w:rPr>
          <w:color w:val="000000"/>
          <w:sz w:val="28"/>
          <w:szCs w:val="28"/>
        </w:rPr>
        <w:t>Новомакаровского</w:t>
      </w:r>
      <w:r w:rsidR="00507CB7" w:rsidRPr="00277421">
        <w:rPr>
          <w:color w:val="000000"/>
          <w:sz w:val="28"/>
          <w:szCs w:val="28"/>
        </w:rPr>
        <w:t xml:space="preserve"> сельского поселения,</w:t>
      </w:r>
    </w:p>
    <w:p w:rsidR="00507CB7" w:rsidRPr="00277421" w:rsidRDefault="00507CB7" w:rsidP="00507CB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Волкодавова Валентина Николаевна</w:t>
      </w:r>
      <w:r w:rsidRPr="00277421">
        <w:rPr>
          <w:color w:val="000000"/>
          <w:sz w:val="28"/>
          <w:szCs w:val="28"/>
        </w:rPr>
        <w:t xml:space="preserve">  – депутат Совета народных депутатов </w:t>
      </w:r>
      <w:r>
        <w:rPr>
          <w:color w:val="000000"/>
          <w:sz w:val="28"/>
          <w:szCs w:val="28"/>
        </w:rPr>
        <w:t>Новомакаровского</w:t>
      </w:r>
      <w:r w:rsidRPr="00277421">
        <w:rPr>
          <w:color w:val="000000"/>
          <w:sz w:val="28"/>
          <w:szCs w:val="28"/>
        </w:rPr>
        <w:t xml:space="preserve"> сельского поселения.</w:t>
      </w:r>
    </w:p>
    <w:p w:rsidR="00507CB7" w:rsidRPr="00806366" w:rsidRDefault="00507CB7" w:rsidP="00507CB7">
      <w:pPr>
        <w:ind w:firstLine="709"/>
        <w:jc w:val="both"/>
        <w:rPr>
          <w:sz w:val="28"/>
          <w:szCs w:val="28"/>
        </w:rPr>
      </w:pPr>
      <w:r w:rsidRPr="00806366">
        <w:rPr>
          <w:sz w:val="28"/>
          <w:szCs w:val="28"/>
        </w:rPr>
        <w:t xml:space="preserve">  4. </w:t>
      </w:r>
      <w:proofErr w:type="gramStart"/>
      <w:r w:rsidRPr="00806366">
        <w:rPr>
          <w:sz w:val="28"/>
          <w:szCs w:val="28"/>
        </w:rPr>
        <w:t xml:space="preserve">Установить, что замечания и предложения по проекту решения Совета народных депутатов  </w:t>
      </w:r>
      <w:r>
        <w:rPr>
          <w:sz w:val="28"/>
          <w:szCs w:val="28"/>
        </w:rPr>
        <w:t>Новомакаровского</w:t>
      </w:r>
      <w:r w:rsidRPr="00806366">
        <w:rPr>
          <w:sz w:val="28"/>
          <w:szCs w:val="28"/>
        </w:rPr>
        <w:t xml:space="preserve">  сельского поселения Грибановского муниципального района Воронежской области «О внесении изменений и дополнений в Устав  </w:t>
      </w:r>
      <w:r>
        <w:rPr>
          <w:sz w:val="28"/>
          <w:szCs w:val="28"/>
        </w:rPr>
        <w:t>Новомакаровского</w:t>
      </w:r>
      <w:r w:rsidRPr="00806366">
        <w:rPr>
          <w:sz w:val="28"/>
          <w:szCs w:val="28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   </w:t>
      </w:r>
      <w:r>
        <w:rPr>
          <w:sz w:val="28"/>
          <w:szCs w:val="28"/>
        </w:rPr>
        <w:t>Новомакаровского</w:t>
      </w:r>
      <w:proofErr w:type="gramEnd"/>
      <w:r w:rsidRPr="00806366">
        <w:rPr>
          <w:sz w:val="28"/>
          <w:szCs w:val="28"/>
        </w:rPr>
        <w:t xml:space="preserve">  сельского поселения Грибановского муниципального района Воронежской области.</w:t>
      </w:r>
    </w:p>
    <w:p w:rsidR="00507CB7" w:rsidRPr="00806366" w:rsidRDefault="00507CB7" w:rsidP="00507CB7">
      <w:pPr>
        <w:ind w:firstLine="709"/>
        <w:jc w:val="both"/>
        <w:rPr>
          <w:sz w:val="28"/>
          <w:szCs w:val="28"/>
        </w:rPr>
      </w:pPr>
      <w:r w:rsidRPr="00806366">
        <w:rPr>
          <w:sz w:val="28"/>
          <w:szCs w:val="28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507CB7" w:rsidP="00507CB7">
      <w:pPr>
        <w:ind w:firstLine="709"/>
        <w:jc w:val="both"/>
        <w:rPr>
          <w:sz w:val="28"/>
          <w:szCs w:val="28"/>
          <w:lang w:eastAsia="en-US"/>
        </w:rPr>
      </w:pPr>
      <w:r w:rsidRPr="00806366">
        <w:rPr>
          <w:sz w:val="28"/>
          <w:szCs w:val="28"/>
        </w:rPr>
        <w:t xml:space="preserve">Регистрация граждан, желающих выступить на публичных слушаниях, производится по адресу: с.   </w:t>
      </w:r>
      <w:r>
        <w:rPr>
          <w:sz w:val="28"/>
          <w:szCs w:val="28"/>
        </w:rPr>
        <w:t>Новомакарово</w:t>
      </w:r>
      <w:r w:rsidRPr="00806366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806366">
        <w:rPr>
          <w:sz w:val="28"/>
          <w:szCs w:val="28"/>
        </w:rPr>
        <w:t xml:space="preserve">, д. </w:t>
      </w:r>
      <w:r>
        <w:rPr>
          <w:sz w:val="28"/>
          <w:szCs w:val="28"/>
        </w:rPr>
        <w:t>57</w:t>
      </w:r>
      <w:r w:rsidRPr="00806366">
        <w:rPr>
          <w:sz w:val="28"/>
          <w:szCs w:val="28"/>
        </w:rPr>
        <w:t xml:space="preserve">, Грибановский район, Воронежская область, здание администрации   </w:t>
      </w:r>
      <w:r>
        <w:rPr>
          <w:sz w:val="28"/>
          <w:szCs w:val="28"/>
        </w:rPr>
        <w:t>Новомакаровского</w:t>
      </w:r>
      <w:r w:rsidRPr="00806366">
        <w:rPr>
          <w:sz w:val="28"/>
          <w:szCs w:val="28"/>
        </w:rPr>
        <w:t xml:space="preserve"> сельского поселения. Последний день регистрации</w:t>
      </w:r>
      <w:r w:rsidR="00DF6BFC" w:rsidRPr="00DF6BFC">
        <w:rPr>
          <w:sz w:val="28"/>
          <w:szCs w:val="28"/>
          <w:lang w:eastAsia="en-US"/>
        </w:rPr>
        <w:t xml:space="preserve">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507CB7">
        <w:rPr>
          <w:sz w:val="28"/>
          <w:szCs w:val="28"/>
          <w:lang w:eastAsia="en-US"/>
        </w:rPr>
        <w:t>3-52-39</w:t>
      </w:r>
      <w:r w:rsidRPr="00DF6BFC">
        <w:rPr>
          <w:sz w:val="28"/>
          <w:szCs w:val="28"/>
          <w:lang w:eastAsia="en-US"/>
        </w:rPr>
        <w:t xml:space="preserve">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507CB7" w:rsidRDefault="00507CB7" w:rsidP="00507CB7">
      <w:pPr>
        <w:jc w:val="both"/>
        <w:rPr>
          <w:sz w:val="28"/>
          <w:szCs w:val="28"/>
          <w:lang w:eastAsia="en-US"/>
        </w:rPr>
      </w:pPr>
    </w:p>
    <w:p w:rsidR="00DF6BFC" w:rsidRPr="00DF6BFC" w:rsidRDefault="00DF6BFC" w:rsidP="00507CB7">
      <w:pPr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</w:t>
      </w:r>
      <w:r w:rsidR="00507CB7">
        <w:rPr>
          <w:sz w:val="28"/>
          <w:szCs w:val="28"/>
          <w:lang w:eastAsia="en-US"/>
        </w:rPr>
        <w:t xml:space="preserve">                 С.А.Шатов</w:t>
      </w:r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507CB7">
        <w:rPr>
          <w:sz w:val="28"/>
          <w:szCs w:val="28"/>
          <w:lang w:eastAsia="en-US"/>
        </w:rPr>
        <w:t>Новомакаровского</w:t>
      </w:r>
      <w:r w:rsidRPr="00DF6BFC">
        <w:rPr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507CB7">
        <w:rPr>
          <w:sz w:val="28"/>
          <w:szCs w:val="28"/>
          <w:lang w:eastAsia="en-US"/>
        </w:rPr>
        <w:t>17.02</w:t>
      </w:r>
      <w:r w:rsidRPr="00DF6BFC">
        <w:rPr>
          <w:sz w:val="28"/>
          <w:szCs w:val="28"/>
          <w:lang w:eastAsia="en-US"/>
        </w:rPr>
        <w:t xml:space="preserve">.2023 г № </w:t>
      </w:r>
      <w:r w:rsidR="00507CB7">
        <w:rPr>
          <w:sz w:val="28"/>
          <w:szCs w:val="28"/>
          <w:lang w:eastAsia="en-US"/>
        </w:rPr>
        <w:t>118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507CB7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507CB7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507CB7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с. __________________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507CB7" w:rsidRDefault="0018435D" w:rsidP="00DF6BFC">
      <w:pPr>
        <w:widowControl w:val="0"/>
        <w:suppressAutoHyphens/>
        <w:ind w:firstLine="709"/>
        <w:jc w:val="center"/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</w:pPr>
      <w:r w:rsidRPr="00507CB7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507CB7" w:rsidRDefault="00507CB7" w:rsidP="00F24DB3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С.А.Шатов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507CB7" w:rsidRDefault="00507CB7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="00507CB7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507CB7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7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lastRenderedPageBreak/>
        <w:t xml:space="preserve">9) иные сведения, предусмотренные нормативным правовым актом Совета народных депутатов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507CB7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Администрация </w:t>
      </w:r>
      <w:r w:rsidR="00175393" w:rsidRP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lastRenderedPageBreak/>
        <w:t xml:space="preserve">11. </w:t>
      </w:r>
      <w:proofErr w:type="gramStart"/>
      <w:r w:rsidRPr="00DF6BFC">
        <w:rPr>
          <w:sz w:val="28"/>
          <w:szCs w:val="28"/>
        </w:rPr>
        <w:t xml:space="preserve">В случае, если в администрацию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Состав коллегиального органа (комиссии) формируется администрацией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lastRenderedPageBreak/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2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8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4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9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DF6BFC">
        <w:rPr>
          <w:sz w:val="28"/>
          <w:szCs w:val="28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дополнений в устав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="00175393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Вопросы введения и </w:t>
      </w:r>
      <w:proofErr w:type="gramStart"/>
      <w:r w:rsidRPr="00DF6BFC">
        <w:rPr>
          <w:sz w:val="28"/>
          <w:szCs w:val="28"/>
        </w:rPr>
        <w:t>использования</w:t>
      </w:r>
      <w:proofErr w:type="gramEnd"/>
      <w:r w:rsidRPr="00DF6BFC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 </w:t>
      </w:r>
      <w:proofErr w:type="gramStart"/>
      <w:r w:rsidRPr="00DF6BFC">
        <w:rPr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DF6BFC">
        <w:rPr>
          <w:sz w:val="28"/>
          <w:szCs w:val="28"/>
        </w:rPr>
        <w:lastRenderedPageBreak/>
        <w:t xml:space="preserve">бюджет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175393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Новомакаровского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507CB7">
      <w:headerReference w:type="default" r:id="rId13"/>
      <w:pgSz w:w="11906" w:h="16838"/>
      <w:pgMar w:top="851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F9" w:rsidRDefault="00E413F9">
      <w:r>
        <w:separator/>
      </w:r>
    </w:p>
  </w:endnote>
  <w:endnote w:type="continuationSeparator" w:id="0">
    <w:p w:rsidR="00E413F9" w:rsidRDefault="00E4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F9" w:rsidRDefault="00E413F9">
      <w:r>
        <w:separator/>
      </w:r>
    </w:p>
  </w:footnote>
  <w:footnote w:type="continuationSeparator" w:id="0">
    <w:p w:rsidR="00E413F9" w:rsidRDefault="00E4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393">
      <w:rPr>
        <w:noProof/>
      </w:rPr>
      <w:t>2</w:t>
    </w:r>
    <w:r>
      <w:fldChar w:fldCharType="end"/>
    </w:r>
  </w:p>
  <w:p w:rsidR="00AD585C" w:rsidRDefault="00E41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B60D0"/>
    <w:rsid w:val="000C2B02"/>
    <w:rsid w:val="000E1F81"/>
    <w:rsid w:val="000E4F67"/>
    <w:rsid w:val="00152C5D"/>
    <w:rsid w:val="00175393"/>
    <w:rsid w:val="0018435D"/>
    <w:rsid w:val="00195EA4"/>
    <w:rsid w:val="002837A8"/>
    <w:rsid w:val="002A1B8D"/>
    <w:rsid w:val="003044AA"/>
    <w:rsid w:val="003802C9"/>
    <w:rsid w:val="00394CAF"/>
    <w:rsid w:val="00403331"/>
    <w:rsid w:val="004D64A7"/>
    <w:rsid w:val="00507CB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F1050"/>
    <w:rsid w:val="009F4A2B"/>
    <w:rsid w:val="00A00631"/>
    <w:rsid w:val="00A13C3A"/>
    <w:rsid w:val="00AF3B61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1383D"/>
    <w:rsid w:val="00D3677F"/>
    <w:rsid w:val="00D560B2"/>
    <w:rsid w:val="00D61F2F"/>
    <w:rsid w:val="00DB5946"/>
    <w:rsid w:val="00DE517D"/>
    <w:rsid w:val="00DF6A5B"/>
    <w:rsid w:val="00DF6BFC"/>
    <w:rsid w:val="00E25B88"/>
    <w:rsid w:val="00E413F9"/>
    <w:rsid w:val="00F10835"/>
    <w:rsid w:val="00F10E42"/>
    <w:rsid w:val="00F24DB3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EB042C48-DE0E-4DBE-8305-4D48DDDB63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7</cp:revision>
  <dcterms:created xsi:type="dcterms:W3CDTF">2023-02-15T05:26:00Z</dcterms:created>
  <dcterms:modified xsi:type="dcterms:W3CDTF">2023-02-15T12:43:00Z</dcterms:modified>
</cp:coreProperties>
</file>